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A964C" w14:textId="77777777" w:rsidR="00DA7833" w:rsidRDefault="00DA7833" w:rsidP="00DA7833">
      <w:pPr>
        <w:spacing w:line="240" w:lineRule="auto"/>
        <w:jc w:val="center"/>
        <w:rPr>
          <w:rFonts w:cs="Arial"/>
          <w:b/>
          <w:bCs/>
        </w:rPr>
      </w:pPr>
    </w:p>
    <w:p w14:paraId="69BE4691" w14:textId="5C22B384" w:rsidR="00AB57BB" w:rsidRPr="00651491" w:rsidRDefault="00651491" w:rsidP="00E53E87">
      <w:pPr>
        <w:jc w:val="center"/>
        <w:rPr>
          <w:rFonts w:cs="Arial"/>
          <w:b/>
          <w:bCs/>
        </w:rPr>
      </w:pPr>
      <w:r w:rsidRPr="00651491">
        <w:rPr>
          <w:rFonts w:cs="Arial"/>
          <w:b/>
          <w:bCs/>
        </w:rPr>
        <w:t>Orientação Técnica nº 07</w:t>
      </w:r>
      <w:r w:rsidR="00AB57BB" w:rsidRPr="00651491">
        <w:rPr>
          <w:rFonts w:cs="Arial"/>
          <w:b/>
          <w:bCs/>
        </w:rPr>
        <w:t>/2020</w:t>
      </w:r>
    </w:p>
    <w:p w14:paraId="49DDB3AC" w14:textId="77C45033" w:rsidR="00DD1447" w:rsidRPr="00651491" w:rsidRDefault="00AB57BB" w:rsidP="006D5DD8">
      <w:pPr>
        <w:shd w:val="clear" w:color="auto" w:fill="FFFFFF"/>
        <w:spacing w:after="0" w:line="360" w:lineRule="auto"/>
        <w:ind w:left="720" w:hanging="360"/>
        <w:jc w:val="center"/>
        <w:rPr>
          <w:rFonts w:cs="Arial"/>
          <w:i/>
          <w:iCs/>
        </w:rPr>
      </w:pPr>
      <w:r w:rsidRPr="00651491">
        <w:rPr>
          <w:rFonts w:cs="Arial"/>
          <w:i/>
          <w:iCs/>
        </w:rPr>
        <w:t>(elaborada no âmbito d</w:t>
      </w:r>
      <w:r w:rsidR="00DD1447" w:rsidRPr="00651491">
        <w:rPr>
          <w:rFonts w:cs="Arial"/>
          <w:i/>
          <w:iCs/>
        </w:rPr>
        <w:t xml:space="preserve">a comissão especial de apoio às ações da </w:t>
      </w:r>
      <w:r w:rsidRPr="00651491">
        <w:rPr>
          <w:rFonts w:cs="Arial"/>
          <w:i/>
          <w:iCs/>
        </w:rPr>
        <w:t>Covid-19, instituíd</w:t>
      </w:r>
      <w:r w:rsidR="00DD1447" w:rsidRPr="00651491">
        <w:rPr>
          <w:rFonts w:cs="Arial"/>
          <w:i/>
          <w:iCs/>
        </w:rPr>
        <w:t>a</w:t>
      </w:r>
      <w:r w:rsidRPr="00651491">
        <w:rPr>
          <w:rFonts w:cs="Arial"/>
          <w:i/>
          <w:iCs/>
        </w:rPr>
        <w:t xml:space="preserve"> pela Portaria 0</w:t>
      </w:r>
      <w:r w:rsidR="00DD1447" w:rsidRPr="00651491">
        <w:rPr>
          <w:rFonts w:cs="Arial"/>
          <w:i/>
          <w:iCs/>
        </w:rPr>
        <w:t>70</w:t>
      </w:r>
      <w:r w:rsidRPr="00651491">
        <w:rPr>
          <w:rFonts w:cs="Arial"/>
          <w:i/>
          <w:iCs/>
        </w:rPr>
        <w:t>/2020)</w:t>
      </w:r>
    </w:p>
    <w:p w14:paraId="627A4CE2" w14:textId="08E45D63" w:rsidR="006C0C33" w:rsidRPr="00651491" w:rsidRDefault="006C0C33" w:rsidP="00DA7833">
      <w:pPr>
        <w:shd w:val="clear" w:color="auto" w:fill="FFFFFF"/>
        <w:spacing w:after="0" w:line="240" w:lineRule="auto"/>
        <w:ind w:left="720" w:hanging="360"/>
        <w:jc w:val="center"/>
        <w:rPr>
          <w:rFonts w:cs="Arial"/>
          <w:i/>
          <w:iCs/>
        </w:rPr>
      </w:pPr>
    </w:p>
    <w:p w14:paraId="274E51E5" w14:textId="77777777" w:rsidR="006C0C33" w:rsidRPr="00651491" w:rsidRDefault="006C0C33" w:rsidP="006C0C33">
      <w:pPr>
        <w:shd w:val="clear" w:color="auto" w:fill="FFFFFF"/>
        <w:spacing w:after="0" w:line="240" w:lineRule="auto"/>
        <w:ind w:left="720" w:hanging="360"/>
        <w:jc w:val="both"/>
      </w:pPr>
    </w:p>
    <w:p w14:paraId="02A895C9" w14:textId="59B326EA" w:rsidR="006C0C33" w:rsidRPr="00651491" w:rsidRDefault="00EE18A8" w:rsidP="00651491">
      <w:pPr>
        <w:shd w:val="clear" w:color="auto" w:fill="D0CECE" w:themeFill="background2" w:themeFillShade="E6"/>
        <w:spacing w:after="0" w:line="36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  <w:r w:rsidRPr="00651491">
        <w:rPr>
          <w:rFonts w:eastAsia="Times New Roman" w:cs="Arial"/>
          <w:b/>
          <w:bCs/>
          <w:color w:val="000000" w:themeColor="text1"/>
          <w:lang w:eastAsia="pt-BR"/>
        </w:rPr>
        <w:t>Temática:</w:t>
      </w:r>
    </w:p>
    <w:p w14:paraId="18870076" w14:textId="2249A452" w:rsidR="006C0C33" w:rsidRPr="00651491" w:rsidRDefault="006C0C33" w:rsidP="0065149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</w:p>
    <w:p w14:paraId="7E31A1D2" w14:textId="22B37116" w:rsidR="00717C7B" w:rsidRPr="00651491" w:rsidRDefault="00AE1C5D" w:rsidP="006C0C3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  <w:r w:rsidRPr="00651491">
        <w:rPr>
          <w:rFonts w:eastAsia="Times New Roman" w:cs="Arial"/>
          <w:b/>
          <w:bCs/>
          <w:color w:val="000000" w:themeColor="text1"/>
          <w:lang w:eastAsia="pt-BR"/>
        </w:rPr>
        <w:t>Medida Provisória 931/2020</w:t>
      </w:r>
      <w:r w:rsidR="00761BC1" w:rsidRPr="00651491">
        <w:rPr>
          <w:rFonts w:eastAsia="Times New Roman" w:cs="Arial"/>
          <w:b/>
          <w:bCs/>
          <w:color w:val="000000" w:themeColor="text1"/>
          <w:lang w:eastAsia="pt-BR"/>
        </w:rPr>
        <w:t>.</w:t>
      </w:r>
    </w:p>
    <w:p w14:paraId="5A73BEDA" w14:textId="77777777" w:rsidR="006112DF" w:rsidRPr="00651491" w:rsidRDefault="006112DF" w:rsidP="006C0C3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</w:p>
    <w:p w14:paraId="545205D3" w14:textId="29F7A20C" w:rsidR="00AB57BB" w:rsidRPr="00651491" w:rsidRDefault="00AB57BB" w:rsidP="00651491">
      <w:pPr>
        <w:shd w:val="clear" w:color="auto" w:fill="D0CECE" w:themeFill="background2" w:themeFillShade="E6"/>
        <w:spacing w:after="0" w:line="36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  <w:r w:rsidRPr="00651491">
        <w:rPr>
          <w:rFonts w:eastAsia="Times New Roman" w:cs="Arial"/>
          <w:b/>
          <w:bCs/>
          <w:color w:val="000000" w:themeColor="text1"/>
          <w:lang w:eastAsia="pt-BR"/>
        </w:rPr>
        <w:t>Questionamento</w:t>
      </w:r>
      <w:r w:rsidR="004970CD" w:rsidRPr="00651491">
        <w:rPr>
          <w:rFonts w:eastAsia="Times New Roman" w:cs="Arial"/>
          <w:b/>
          <w:bCs/>
          <w:color w:val="000000" w:themeColor="text1"/>
          <w:lang w:eastAsia="pt-BR"/>
        </w:rPr>
        <w:t>s</w:t>
      </w:r>
      <w:r w:rsidRPr="00651491">
        <w:rPr>
          <w:rFonts w:eastAsia="Times New Roman" w:cs="Arial"/>
          <w:b/>
          <w:bCs/>
          <w:color w:val="000000" w:themeColor="text1"/>
          <w:lang w:eastAsia="pt-BR"/>
        </w:rPr>
        <w:t>:</w:t>
      </w:r>
    </w:p>
    <w:p w14:paraId="2EF20F13" w14:textId="1CB63A63" w:rsidR="00AB57BB" w:rsidRPr="00651491" w:rsidRDefault="00AB57BB" w:rsidP="0065149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</w:p>
    <w:p w14:paraId="14DBB46D" w14:textId="40A3499C" w:rsidR="000969B7" w:rsidRPr="00651491" w:rsidRDefault="00992C2F" w:rsidP="000969B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A suspensão da exigência de arquivamento prévio de atos</w:t>
      </w:r>
      <w:r w:rsidR="00B22F0E"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empresariais</w:t>
      </w:r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na junta comercial e a respectiva flexibilização de prazo previstas na MP 931/2020 (art. 6º, II) aplicam-se no âmbito da</w:t>
      </w:r>
      <w:r w:rsidR="000969B7"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</w:t>
      </w:r>
      <w:r w:rsidR="000969B7" w:rsidRPr="0065149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Junta Comercial do Estado de Mato Grosso – </w:t>
      </w:r>
      <w:proofErr w:type="spellStart"/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Jucemat</w:t>
      </w:r>
      <w:proofErr w:type="spellEnd"/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, tendo em vista que </w:t>
      </w:r>
      <w:r w:rsidR="000969B7"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o órgão mato-grossense, apesar de ter i</w:t>
      </w:r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nterromp</w:t>
      </w:r>
      <w:r w:rsidR="000969B7"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ido </w:t>
      </w:r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suas atividades presenciais de atendimento ao público em decorrência das medidas estaduais de isolamento social, realiza registro de atos empresariais por meio eletrônico digital</w:t>
      </w:r>
      <w:r w:rsidR="000969B7"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?</w:t>
      </w:r>
    </w:p>
    <w:p w14:paraId="6F7C4AC9" w14:textId="1FE47B6D" w:rsidR="00992C2F" w:rsidRPr="00651491" w:rsidRDefault="000969B7" w:rsidP="00DE1C7A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Qual o impacto dessa norma quanto ao</w:t>
      </w:r>
      <w:r w:rsidR="00992C2F" w:rsidRPr="0065149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registro de documentos a serem apresentados em qualificação econômico-financeira nas licitações no âmbito de Mato Grosso?</w:t>
      </w:r>
    </w:p>
    <w:p w14:paraId="0733A094" w14:textId="77777777" w:rsidR="007C6A00" w:rsidRPr="00651491" w:rsidRDefault="007C6A00" w:rsidP="00713D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1B8FF210" w14:textId="7FD5CEF0" w:rsidR="008D4ECF" w:rsidRPr="00651491" w:rsidRDefault="008D4ECF" w:rsidP="00651491">
      <w:pPr>
        <w:shd w:val="clear" w:color="auto" w:fill="D0CECE" w:themeFill="background2" w:themeFillShade="E6"/>
        <w:spacing w:after="0" w:line="36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  <w:r w:rsidRPr="00651491">
        <w:rPr>
          <w:rFonts w:eastAsia="Times New Roman" w:cs="Arial"/>
          <w:b/>
          <w:bCs/>
          <w:color w:val="000000" w:themeColor="text1"/>
          <w:lang w:eastAsia="pt-BR"/>
        </w:rPr>
        <w:t>Orientação técnica:</w:t>
      </w:r>
    </w:p>
    <w:p w14:paraId="6CBBC029" w14:textId="1A190C08" w:rsidR="00847828" w:rsidRPr="00651491" w:rsidRDefault="00847828" w:rsidP="00651491">
      <w:pPr>
        <w:spacing w:after="0" w:line="240" w:lineRule="auto"/>
        <w:jc w:val="both"/>
        <w:rPr>
          <w:rFonts w:cs="Arial"/>
          <w:b/>
          <w:bCs/>
          <w:u w:val="single"/>
        </w:rPr>
      </w:pPr>
    </w:p>
    <w:p w14:paraId="4BC8E5FB" w14:textId="5DE8F71D" w:rsidR="006D7D01" w:rsidRPr="00651491" w:rsidRDefault="008D1C92" w:rsidP="006D7D01">
      <w:pPr>
        <w:shd w:val="clear" w:color="auto" w:fill="FFFFFF"/>
        <w:spacing w:after="120" w:line="360" w:lineRule="auto"/>
        <w:ind w:firstLine="708"/>
        <w:jc w:val="both"/>
        <w:rPr>
          <w:rFonts w:cs="Arial"/>
          <w:color w:val="000000" w:themeColor="text1"/>
        </w:rPr>
      </w:pPr>
      <w:r w:rsidRPr="00651491">
        <w:rPr>
          <w:rFonts w:cs="Arial"/>
          <w:color w:val="000000" w:themeColor="text1"/>
        </w:rPr>
        <w:t>A MP 931</w:t>
      </w:r>
      <w:r w:rsidR="005C63F6" w:rsidRPr="00651491">
        <w:rPr>
          <w:rStyle w:val="Refdenotaderodap"/>
          <w:rFonts w:cs="Arial"/>
          <w:color w:val="000000" w:themeColor="text1"/>
        </w:rPr>
        <w:footnoteReference w:id="1"/>
      </w:r>
      <w:r w:rsidR="005C63F6" w:rsidRPr="00651491">
        <w:rPr>
          <w:rFonts w:cs="Arial"/>
          <w:color w:val="000000" w:themeColor="text1"/>
        </w:rPr>
        <w:t>, de 30/03/2020, entre outras disposições</w:t>
      </w:r>
      <w:r w:rsidR="00CD27D5" w:rsidRPr="00651491">
        <w:rPr>
          <w:rFonts w:cs="Arial"/>
          <w:color w:val="000000" w:themeColor="text1"/>
        </w:rPr>
        <w:t>,</w:t>
      </w:r>
      <w:r w:rsidR="005C63F6" w:rsidRPr="00651491">
        <w:rPr>
          <w:rFonts w:cs="Arial"/>
          <w:color w:val="000000" w:themeColor="text1"/>
        </w:rPr>
        <w:t xml:space="preserve"> como </w:t>
      </w:r>
      <w:r w:rsidR="00CD27D5" w:rsidRPr="00651491">
        <w:rPr>
          <w:rFonts w:cs="Arial"/>
          <w:color w:val="000000" w:themeColor="text1"/>
        </w:rPr>
        <w:t xml:space="preserve">a </w:t>
      </w:r>
      <w:r w:rsidR="005C63F6" w:rsidRPr="00651491">
        <w:rPr>
          <w:rFonts w:cs="Arial"/>
          <w:color w:val="000000" w:themeColor="text1"/>
        </w:rPr>
        <w:t>ampliação do prazo para realização de assembleia</w:t>
      </w:r>
      <w:r w:rsidR="00557987" w:rsidRPr="00651491">
        <w:rPr>
          <w:rFonts w:cs="Arial"/>
          <w:color w:val="000000" w:themeColor="text1"/>
        </w:rPr>
        <w:t>s gerais ordinárias</w:t>
      </w:r>
      <w:r w:rsidR="005C63F6" w:rsidRPr="00651491">
        <w:rPr>
          <w:rFonts w:cs="Arial"/>
          <w:color w:val="000000" w:themeColor="text1"/>
        </w:rPr>
        <w:t xml:space="preserve"> de sociedades </w:t>
      </w:r>
      <w:r w:rsidR="00557987" w:rsidRPr="00651491">
        <w:rPr>
          <w:rFonts w:cs="Arial"/>
          <w:color w:val="000000" w:themeColor="text1"/>
        </w:rPr>
        <w:t xml:space="preserve">anônimas, companhias </w:t>
      </w:r>
      <w:r w:rsidR="005C63F6" w:rsidRPr="00651491">
        <w:rPr>
          <w:rFonts w:cs="Arial"/>
          <w:color w:val="000000" w:themeColor="text1"/>
        </w:rPr>
        <w:t>limitadas</w:t>
      </w:r>
      <w:r w:rsidR="00557987" w:rsidRPr="00651491">
        <w:rPr>
          <w:rFonts w:cs="Arial"/>
          <w:color w:val="000000" w:themeColor="text1"/>
        </w:rPr>
        <w:t xml:space="preserve"> e cooperativas</w:t>
      </w:r>
      <w:r w:rsidR="005C63F6" w:rsidRPr="00651491">
        <w:rPr>
          <w:rFonts w:cs="Arial"/>
          <w:color w:val="000000" w:themeColor="text1"/>
        </w:rPr>
        <w:t>,</w:t>
      </w:r>
      <w:r w:rsidR="00CD27D5" w:rsidRPr="00651491">
        <w:rPr>
          <w:rFonts w:cs="Arial"/>
          <w:color w:val="000000" w:themeColor="text1"/>
        </w:rPr>
        <w:t xml:space="preserve"> </w:t>
      </w:r>
      <w:r w:rsidR="00FE1294" w:rsidRPr="00651491">
        <w:rPr>
          <w:rFonts w:cs="Arial"/>
          <w:color w:val="000000" w:themeColor="text1"/>
        </w:rPr>
        <w:t xml:space="preserve">e </w:t>
      </w:r>
      <w:r w:rsidR="00CD27D5" w:rsidRPr="00651491">
        <w:rPr>
          <w:rFonts w:cs="Arial"/>
          <w:color w:val="000000" w:themeColor="text1"/>
        </w:rPr>
        <w:t>participação e votação à distância dos sócios em reunião e assembleia,</w:t>
      </w:r>
      <w:r w:rsidR="005C63F6" w:rsidRPr="00651491">
        <w:rPr>
          <w:rFonts w:cs="Arial"/>
          <w:color w:val="000000" w:themeColor="text1"/>
        </w:rPr>
        <w:t xml:space="preserve"> </w:t>
      </w:r>
      <w:r w:rsidR="008E2925" w:rsidRPr="00651491">
        <w:rPr>
          <w:rFonts w:cs="Arial"/>
          <w:color w:val="000000" w:themeColor="text1"/>
        </w:rPr>
        <w:t xml:space="preserve">estabeleceu </w:t>
      </w:r>
      <w:r w:rsidR="00942CEA" w:rsidRPr="00651491">
        <w:rPr>
          <w:rFonts w:cs="Arial"/>
          <w:color w:val="000000" w:themeColor="text1"/>
        </w:rPr>
        <w:t xml:space="preserve">a </w:t>
      </w:r>
      <w:r w:rsidR="00942CEA" w:rsidRPr="00651491">
        <w:rPr>
          <w:rFonts w:cs="Arial"/>
          <w:color w:val="000000" w:themeColor="text1"/>
          <w:u w:val="single"/>
        </w:rPr>
        <w:t>suspensão da exigência de arquivamento d</w:t>
      </w:r>
      <w:r w:rsidR="005C63F6" w:rsidRPr="00651491">
        <w:rPr>
          <w:rFonts w:cs="Arial"/>
          <w:color w:val="000000" w:themeColor="text1"/>
          <w:u w:val="single"/>
        </w:rPr>
        <w:t>e atos na junta comercial</w:t>
      </w:r>
      <w:r w:rsidR="00942CEA" w:rsidRPr="00651491">
        <w:rPr>
          <w:rFonts w:cs="Arial"/>
          <w:color w:val="000000" w:themeColor="text1"/>
          <w:u w:val="single"/>
        </w:rPr>
        <w:t xml:space="preserve"> e a ampliação do respectivo prazo</w:t>
      </w:r>
      <w:r w:rsidR="005C63F6" w:rsidRPr="00651491">
        <w:rPr>
          <w:rFonts w:cs="Arial"/>
          <w:color w:val="000000" w:themeColor="text1"/>
        </w:rPr>
        <w:t>, nos seguintes termos:</w:t>
      </w:r>
    </w:p>
    <w:p w14:paraId="03279CCC" w14:textId="4E4C5D49" w:rsidR="006D7D01" w:rsidRPr="00651491" w:rsidRDefault="005C63F6" w:rsidP="006D7D01">
      <w:pPr>
        <w:shd w:val="clear" w:color="auto" w:fill="FFFFFF"/>
        <w:spacing w:after="120" w:line="240" w:lineRule="auto"/>
        <w:ind w:left="1416"/>
        <w:jc w:val="both"/>
        <w:rPr>
          <w:rFonts w:cs="Arial"/>
          <w:color w:val="000000"/>
        </w:rPr>
      </w:pPr>
      <w:r w:rsidRPr="00651491">
        <w:rPr>
          <w:rFonts w:cs="Arial"/>
          <w:color w:val="000000"/>
        </w:rPr>
        <w:t xml:space="preserve">Art. 6º </w:t>
      </w:r>
      <w:r w:rsidRPr="00651491">
        <w:rPr>
          <w:rFonts w:cs="Arial"/>
          <w:color w:val="000000"/>
          <w:u w:val="single"/>
        </w:rPr>
        <w:t xml:space="preserve">Enquanto durarem as medidas restritivas ao </w:t>
      </w:r>
      <w:r w:rsidRPr="00651491">
        <w:rPr>
          <w:rFonts w:cs="Arial"/>
          <w:b/>
          <w:bCs/>
          <w:color w:val="000000"/>
          <w:u w:val="single"/>
        </w:rPr>
        <w:t>funcionamento normal</w:t>
      </w:r>
      <w:r w:rsidRPr="00651491">
        <w:rPr>
          <w:rFonts w:cs="Arial"/>
          <w:color w:val="000000"/>
          <w:u w:val="single"/>
        </w:rPr>
        <w:t xml:space="preserve"> das juntas comerciais</w:t>
      </w:r>
      <w:r w:rsidRPr="00651491">
        <w:rPr>
          <w:rFonts w:cs="Arial"/>
          <w:color w:val="000000"/>
        </w:rPr>
        <w:t xml:space="preserve"> decorrentes exclusivamente da pandemia da </w:t>
      </w:r>
      <w:r w:rsidRPr="00651491">
        <w:rPr>
          <w:rFonts w:cs="Arial"/>
          <w:b/>
          <w:bCs/>
          <w:color w:val="000000"/>
        </w:rPr>
        <w:t>covid-19</w:t>
      </w:r>
      <w:r w:rsidRPr="00651491">
        <w:rPr>
          <w:rFonts w:cs="Arial"/>
          <w:color w:val="000000"/>
        </w:rPr>
        <w:t>:</w:t>
      </w:r>
    </w:p>
    <w:p w14:paraId="19143DC3" w14:textId="0CC0BBF7" w:rsidR="005C63F6" w:rsidRPr="00651491" w:rsidRDefault="005C63F6" w:rsidP="006D7D01">
      <w:pPr>
        <w:shd w:val="clear" w:color="auto" w:fill="FFFFFF"/>
        <w:spacing w:after="120" w:line="240" w:lineRule="auto"/>
        <w:ind w:left="1416"/>
        <w:jc w:val="both"/>
        <w:rPr>
          <w:rFonts w:cs="Arial"/>
          <w:color w:val="000000"/>
        </w:rPr>
      </w:pPr>
      <w:r w:rsidRPr="00651491">
        <w:rPr>
          <w:rFonts w:cs="Arial"/>
          <w:color w:val="000000"/>
        </w:rPr>
        <w:t xml:space="preserve">I - </w:t>
      </w:r>
      <w:proofErr w:type="gramStart"/>
      <w:r w:rsidRPr="00651491">
        <w:rPr>
          <w:rFonts w:cs="Arial"/>
          <w:color w:val="000000"/>
        </w:rPr>
        <w:t>para</w:t>
      </w:r>
      <w:proofErr w:type="gramEnd"/>
      <w:r w:rsidRPr="00651491">
        <w:rPr>
          <w:rFonts w:cs="Arial"/>
          <w:color w:val="000000"/>
        </w:rPr>
        <w:t xml:space="preserve"> os atos sujeitos a arquivamento assinados a partir de 16 de fevereiro de 2020, o prazo de que trata o</w:t>
      </w:r>
      <w:r w:rsidR="00322469" w:rsidRPr="00651491">
        <w:rPr>
          <w:rFonts w:cs="Arial"/>
          <w:color w:val="000000"/>
        </w:rPr>
        <w:t xml:space="preserve"> art. 36 da Lei nº 8.934, de 18 de dezembro de 1994, </w:t>
      </w:r>
      <w:r w:rsidRPr="00651491">
        <w:rPr>
          <w:rFonts w:cs="Arial"/>
          <w:color w:val="000000"/>
        </w:rPr>
        <w:lastRenderedPageBreak/>
        <w:t>será contado da data em que a junta comercial respectiva restabelecer a prestação regular dos seus serviços; e</w:t>
      </w:r>
    </w:p>
    <w:p w14:paraId="389230BD" w14:textId="01417AB5" w:rsidR="005C63F6" w:rsidRPr="00651491" w:rsidRDefault="005C63F6" w:rsidP="00737AA5">
      <w:pPr>
        <w:pStyle w:val="textbody"/>
        <w:spacing w:before="0" w:beforeAutospacing="0" w:after="120" w:afterAutospacing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II - </w:t>
      </w:r>
      <w:r w:rsidRPr="00651491">
        <w:rPr>
          <w:rFonts w:asciiTheme="minorHAnsi" w:hAnsiTheme="minorHAnsi" w:cs="Arial"/>
          <w:color w:val="000000"/>
          <w:sz w:val="22"/>
          <w:szCs w:val="22"/>
          <w:u w:val="single"/>
        </w:rPr>
        <w:t>a exigência de arquivamento prévio de ato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para a realização de emissões de valores mobiliários e </w:t>
      </w:r>
      <w:r w:rsidRPr="0065149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para outros negócios jurídicos fica suspensa a partir de 1º de março de 2020 e o arquivamento deverá ser feito na junta comercial respectiva no prazo de trinta dias, contado da data em que a junta comercial restabelecer a </w:t>
      </w:r>
      <w:r w:rsidRPr="00651491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prestação regular</w:t>
      </w:r>
      <w:r w:rsidRPr="0065149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dos seus serviços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>.</w:t>
      </w:r>
      <w:r w:rsidR="00115278" w:rsidRPr="00651491">
        <w:rPr>
          <w:rFonts w:asciiTheme="minorHAnsi" w:hAnsiTheme="minorHAnsi" w:cs="Arial"/>
          <w:color w:val="000000"/>
          <w:sz w:val="22"/>
          <w:szCs w:val="22"/>
        </w:rPr>
        <w:t xml:space="preserve"> (gri</w:t>
      </w:r>
      <w:r w:rsidR="0015556C" w:rsidRPr="00651491">
        <w:rPr>
          <w:rFonts w:asciiTheme="minorHAnsi" w:hAnsiTheme="minorHAnsi" w:cs="Arial"/>
          <w:color w:val="000000"/>
          <w:sz w:val="22"/>
          <w:szCs w:val="22"/>
        </w:rPr>
        <w:t>f</w:t>
      </w:r>
      <w:r w:rsidR="00115278" w:rsidRPr="00651491">
        <w:rPr>
          <w:rFonts w:asciiTheme="minorHAnsi" w:hAnsiTheme="minorHAnsi" w:cs="Arial"/>
          <w:color w:val="000000"/>
          <w:sz w:val="22"/>
          <w:szCs w:val="22"/>
        </w:rPr>
        <w:t>ou-se)</w:t>
      </w:r>
    </w:p>
    <w:p w14:paraId="61FDA562" w14:textId="77777777" w:rsidR="00737AA5" w:rsidRPr="00651491" w:rsidRDefault="00737AA5" w:rsidP="00737AA5">
      <w:pPr>
        <w:pStyle w:val="textbody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E235049" w14:textId="77777777" w:rsidR="009D031C" w:rsidRPr="00651491" w:rsidRDefault="00737AA5" w:rsidP="00AD20E8">
      <w:pPr>
        <w:pStyle w:val="textbody"/>
        <w:spacing w:before="0" w:beforeAutospacing="0" w:after="120" w:afterAutospacing="0"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ab/>
      </w:r>
      <w:r w:rsidR="00174995" w:rsidRPr="00651491">
        <w:rPr>
          <w:rFonts w:asciiTheme="minorHAnsi" w:hAnsiTheme="minorHAnsi" w:cs="Arial"/>
          <w:color w:val="000000"/>
          <w:sz w:val="22"/>
          <w:szCs w:val="22"/>
        </w:rPr>
        <w:t>O</w:t>
      </w:r>
      <w:r w:rsidR="008956F5" w:rsidRPr="00651491">
        <w:rPr>
          <w:rFonts w:asciiTheme="minorHAnsi" w:hAnsiTheme="minorHAnsi" w:cs="Arial"/>
          <w:color w:val="000000"/>
          <w:sz w:val="22"/>
          <w:szCs w:val="22"/>
        </w:rPr>
        <w:t xml:space="preserve"> objetivo </w:t>
      </w:r>
      <w:r w:rsidR="00174995" w:rsidRPr="00651491">
        <w:rPr>
          <w:rFonts w:asciiTheme="minorHAnsi" w:hAnsiTheme="minorHAnsi" w:cs="Arial"/>
          <w:color w:val="000000"/>
          <w:sz w:val="22"/>
          <w:szCs w:val="22"/>
        </w:rPr>
        <w:t>dest</w:t>
      </w:r>
      <w:r w:rsidR="009D031C" w:rsidRPr="00651491">
        <w:rPr>
          <w:rFonts w:asciiTheme="minorHAnsi" w:hAnsiTheme="minorHAnsi" w:cs="Arial"/>
          <w:color w:val="000000"/>
          <w:sz w:val="22"/>
          <w:szCs w:val="22"/>
        </w:rPr>
        <w:t>e breve estudo e respectiva</w:t>
      </w:r>
      <w:r w:rsidR="00E90A40" w:rsidRPr="00651491">
        <w:rPr>
          <w:rFonts w:asciiTheme="minorHAnsi" w:hAnsiTheme="minorHAnsi" w:cs="Arial"/>
          <w:color w:val="000000"/>
          <w:sz w:val="22"/>
          <w:szCs w:val="22"/>
        </w:rPr>
        <w:t xml:space="preserve"> orientação</w:t>
      </w:r>
      <w:r w:rsidR="00FB6932" w:rsidRPr="00651491">
        <w:rPr>
          <w:rFonts w:asciiTheme="minorHAnsi" w:hAnsiTheme="minorHAnsi" w:cs="Arial"/>
          <w:color w:val="000000"/>
          <w:sz w:val="22"/>
          <w:szCs w:val="22"/>
        </w:rPr>
        <w:t>, além</w:t>
      </w:r>
      <w:r w:rsidR="00E90A40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B6932" w:rsidRPr="00651491">
        <w:rPr>
          <w:rFonts w:asciiTheme="minorHAnsi" w:hAnsiTheme="minorHAnsi" w:cs="Arial"/>
          <w:color w:val="000000"/>
          <w:sz w:val="22"/>
          <w:szCs w:val="22"/>
        </w:rPr>
        <w:t>de v</w:t>
      </w:r>
      <w:r w:rsidR="00174995" w:rsidRPr="00651491">
        <w:rPr>
          <w:rFonts w:asciiTheme="minorHAnsi" w:hAnsiTheme="minorHAnsi" w:cs="Arial"/>
          <w:color w:val="000000"/>
          <w:sz w:val="22"/>
          <w:szCs w:val="22"/>
        </w:rPr>
        <w:t>erificar a aplicação de tal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disposição normativa </w:t>
      </w:r>
      <w:r w:rsidR="00226647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no âmbito da </w:t>
      </w:r>
      <w:r w:rsidR="00226647" w:rsidRPr="00651491">
        <w:rPr>
          <w:rFonts w:asciiTheme="minorHAnsi" w:hAnsiTheme="minorHAnsi" w:cs="Arial"/>
          <w:color w:val="000000"/>
          <w:sz w:val="22"/>
          <w:szCs w:val="22"/>
        </w:rPr>
        <w:t xml:space="preserve">Junta Comercial do Estado de Mato Grosso – </w:t>
      </w:r>
      <w:proofErr w:type="spellStart"/>
      <w:r w:rsidR="00226647" w:rsidRPr="00651491">
        <w:rPr>
          <w:rFonts w:asciiTheme="minorHAnsi" w:hAnsiTheme="minorHAnsi" w:cs="Arial"/>
          <w:color w:val="000000" w:themeColor="text1"/>
          <w:sz w:val="22"/>
          <w:szCs w:val="22"/>
        </w:rPr>
        <w:t>Jucemat</w:t>
      </w:r>
      <w:proofErr w:type="spellEnd"/>
      <w:r w:rsidR="00226647" w:rsidRPr="00651491">
        <w:rPr>
          <w:rFonts w:asciiTheme="minorHAnsi" w:hAnsiTheme="minorHAnsi" w:cs="Arial"/>
          <w:color w:val="000000" w:themeColor="text1"/>
          <w:sz w:val="22"/>
          <w:szCs w:val="22"/>
        </w:rPr>
        <w:t>, tendo em vista que o órgão mato-grossense interrompeu a prestação regular de seus serviços, cumprindo regulamentação estadual, porém, realiza registro de atos empresariais por meio eletrônico digital</w:t>
      </w:r>
      <w:r w:rsidR="00FB6932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, busca </w:t>
      </w:r>
      <w:r w:rsidR="006F4D2D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principalmente </w:t>
      </w:r>
      <w:r w:rsidR="00FB6932" w:rsidRPr="00651491">
        <w:rPr>
          <w:rFonts w:asciiTheme="minorHAnsi" w:hAnsiTheme="minorHAnsi" w:cs="Arial"/>
          <w:color w:val="000000" w:themeColor="text1"/>
          <w:sz w:val="22"/>
          <w:szCs w:val="22"/>
        </w:rPr>
        <w:t>identificar possível</w:t>
      </w:r>
      <w:r w:rsidR="007716B1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B6932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impacto quanto ao </w:t>
      </w:r>
      <w:r w:rsidR="00226647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registro de </w:t>
      </w:r>
      <w:r w:rsidR="00FB6932" w:rsidRPr="00651491">
        <w:rPr>
          <w:rFonts w:asciiTheme="minorHAnsi" w:hAnsiTheme="minorHAnsi" w:cs="Arial"/>
          <w:color w:val="000000" w:themeColor="text1"/>
          <w:sz w:val="22"/>
          <w:szCs w:val="22"/>
        </w:rPr>
        <w:t>atos negociais (balanço patrimonial e demonstrações contábeis)</w:t>
      </w:r>
      <w:r w:rsidR="00226647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F4D2D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na </w:t>
      </w:r>
      <w:proofErr w:type="spellStart"/>
      <w:r w:rsidR="006F4D2D" w:rsidRPr="00651491">
        <w:rPr>
          <w:rFonts w:asciiTheme="minorHAnsi" w:hAnsiTheme="minorHAnsi" w:cs="Arial"/>
          <w:color w:val="000000" w:themeColor="text1"/>
          <w:sz w:val="22"/>
          <w:szCs w:val="22"/>
        </w:rPr>
        <w:t>Jucemat</w:t>
      </w:r>
      <w:proofErr w:type="spellEnd"/>
      <w:r w:rsidR="006F4D2D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26647" w:rsidRPr="00651491">
        <w:rPr>
          <w:rFonts w:asciiTheme="minorHAnsi" w:hAnsiTheme="minorHAnsi" w:cs="Arial"/>
          <w:color w:val="000000" w:themeColor="text1"/>
          <w:sz w:val="22"/>
          <w:szCs w:val="22"/>
        </w:rPr>
        <w:t>a serem apresentados em qualificação econômico-financeira nas licitações no âmbito de Mato Grosso</w:t>
      </w:r>
      <w:r w:rsidR="00FB6932" w:rsidRPr="0065149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2165E082" w14:textId="498FC9B4" w:rsidR="00491616" w:rsidRPr="00651491" w:rsidRDefault="00401710" w:rsidP="00491616">
      <w:pPr>
        <w:pStyle w:val="textbody"/>
        <w:spacing w:before="0" w:beforeAutospacing="0" w:after="120" w:afterAutospacing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ab/>
      </w:r>
      <w:r w:rsidR="00664A76" w:rsidRPr="00651491">
        <w:rPr>
          <w:rFonts w:asciiTheme="minorHAnsi" w:hAnsiTheme="minorHAnsi" w:cs="Arial"/>
          <w:color w:val="000000"/>
          <w:sz w:val="22"/>
          <w:szCs w:val="22"/>
        </w:rPr>
        <w:t>O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que a Medida Provisória 931/2020 estabelece</w:t>
      </w:r>
      <w:r w:rsidR="008364CA" w:rsidRPr="00651491">
        <w:rPr>
          <w:rFonts w:asciiTheme="minorHAnsi" w:hAnsiTheme="minorHAnsi" w:cs="Arial"/>
          <w:color w:val="000000"/>
          <w:sz w:val="22"/>
          <w:szCs w:val="22"/>
        </w:rPr>
        <w:t>, no inciso II do art. 6º,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é que enquanto perdurarem as restrições de funcionamento normal das juntas comerciais, em que não há prestação regular ou presencial dos seus serviços, </w:t>
      </w:r>
      <w:r w:rsidR="00491616" w:rsidRPr="00651491">
        <w:rPr>
          <w:rFonts w:asciiTheme="minorHAnsi" w:hAnsiTheme="minorHAnsi" w:cs="Arial"/>
          <w:color w:val="000000"/>
          <w:sz w:val="22"/>
          <w:szCs w:val="22"/>
        </w:rPr>
        <w:t>em decorrência da necessidade de enfrentamento da pandemia d</w:t>
      </w:r>
      <w:r w:rsidR="000D060D" w:rsidRPr="00651491">
        <w:rPr>
          <w:rFonts w:asciiTheme="minorHAnsi" w:hAnsiTheme="minorHAnsi" w:cs="Arial"/>
          <w:color w:val="000000"/>
          <w:sz w:val="22"/>
          <w:szCs w:val="22"/>
        </w:rPr>
        <w:t>a</w:t>
      </w:r>
      <w:r w:rsidR="00491616" w:rsidRPr="00651491">
        <w:rPr>
          <w:rFonts w:asciiTheme="minorHAnsi" w:hAnsiTheme="minorHAnsi" w:cs="Arial"/>
          <w:color w:val="000000"/>
          <w:sz w:val="22"/>
          <w:szCs w:val="22"/>
        </w:rPr>
        <w:t xml:space="preserve"> Covid-19, </w:t>
      </w:r>
      <w:r w:rsidR="00491616" w:rsidRPr="00651491">
        <w:rPr>
          <w:rFonts w:asciiTheme="minorHAnsi" w:hAnsiTheme="minorHAnsi" w:cs="Arial"/>
          <w:color w:val="000000"/>
          <w:sz w:val="22"/>
          <w:szCs w:val="22"/>
          <w:u w:val="single"/>
        </w:rPr>
        <w:t>fica suspensa a exigência de arquivamento prévio de atos para realização de negócios jurídicos, sendo que tal arquivamento/registro nas juntas comerciais deverá ser feito até 30 dias depois que estas restabelecerem suas atividades normais</w:t>
      </w:r>
      <w:r w:rsidR="00491616" w:rsidRPr="00651491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DE41607" w14:textId="7692EBD4" w:rsidR="009F0EBE" w:rsidRPr="00651491" w:rsidRDefault="00492777" w:rsidP="00491616">
      <w:pPr>
        <w:pStyle w:val="textbody"/>
        <w:spacing w:before="0" w:beforeAutospacing="0" w:after="120" w:afterAutospacing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ab/>
      </w:r>
      <w:r w:rsidR="00610176" w:rsidRPr="00651491">
        <w:rPr>
          <w:rFonts w:asciiTheme="minorHAnsi" w:hAnsiTheme="minorHAnsi" w:cs="Arial"/>
          <w:color w:val="000000"/>
          <w:sz w:val="22"/>
          <w:szCs w:val="22"/>
        </w:rPr>
        <w:t>Cabe frisar que dentre e</w:t>
      </w:r>
      <w:r w:rsidR="00373EB0" w:rsidRPr="00651491">
        <w:rPr>
          <w:rFonts w:asciiTheme="minorHAnsi" w:hAnsiTheme="minorHAnsi" w:cs="Arial"/>
          <w:color w:val="000000"/>
          <w:sz w:val="22"/>
          <w:szCs w:val="22"/>
        </w:rPr>
        <w:t xml:space="preserve">sses 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>atos para realização de negócios jurídicos incluem</w:t>
      </w:r>
      <w:r w:rsidR="00610176" w:rsidRPr="00651491">
        <w:rPr>
          <w:rFonts w:asciiTheme="minorHAnsi" w:hAnsiTheme="minorHAnsi" w:cs="Arial"/>
          <w:color w:val="000000"/>
          <w:sz w:val="22"/>
          <w:szCs w:val="22"/>
        </w:rPr>
        <w:t>-se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documentos </w:t>
      </w:r>
      <w:r w:rsidR="005A2873" w:rsidRPr="00651491">
        <w:rPr>
          <w:rFonts w:asciiTheme="minorHAnsi" w:hAnsiTheme="minorHAnsi" w:cs="Arial"/>
          <w:color w:val="000000"/>
          <w:sz w:val="22"/>
          <w:szCs w:val="22"/>
        </w:rPr>
        <w:t xml:space="preserve">apresentados em </w:t>
      </w:r>
      <w:r w:rsidR="00373EB0" w:rsidRPr="00651491">
        <w:rPr>
          <w:rFonts w:asciiTheme="minorHAnsi" w:hAnsiTheme="minorHAnsi" w:cs="Arial"/>
          <w:color w:val="000000"/>
          <w:sz w:val="22"/>
          <w:szCs w:val="22"/>
        </w:rPr>
        <w:t>habilitação licitatória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, como </w:t>
      </w:r>
      <w:r w:rsidR="00610176" w:rsidRPr="00651491">
        <w:rPr>
          <w:rFonts w:asciiTheme="minorHAnsi" w:hAnsiTheme="minorHAnsi" w:cs="Arial"/>
          <w:color w:val="000000"/>
          <w:sz w:val="22"/>
          <w:szCs w:val="22"/>
        </w:rPr>
        <w:t>é o caso d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o balanço patrimonial e </w:t>
      </w:r>
      <w:r w:rsidR="00280405" w:rsidRPr="00651491">
        <w:rPr>
          <w:rFonts w:asciiTheme="minorHAnsi" w:hAnsiTheme="minorHAnsi" w:cs="Arial"/>
          <w:color w:val="000000"/>
          <w:sz w:val="22"/>
          <w:szCs w:val="22"/>
        </w:rPr>
        <w:t xml:space="preserve">as 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>demonstrações contábeis</w:t>
      </w:r>
      <w:r w:rsidR="001D6CCE" w:rsidRPr="00651491">
        <w:rPr>
          <w:rFonts w:asciiTheme="minorHAnsi" w:hAnsiTheme="minorHAnsi" w:cs="Arial"/>
          <w:color w:val="000000"/>
          <w:sz w:val="22"/>
          <w:szCs w:val="22"/>
        </w:rPr>
        <w:t xml:space="preserve"> do último exercício social</w:t>
      </w:r>
      <w:r w:rsidR="00613E2D" w:rsidRPr="00651491">
        <w:rPr>
          <w:rFonts w:asciiTheme="minorHAnsi" w:hAnsiTheme="minorHAnsi" w:cs="Arial"/>
          <w:color w:val="000000"/>
          <w:sz w:val="22"/>
          <w:szCs w:val="22"/>
        </w:rPr>
        <w:t>,</w:t>
      </w:r>
      <w:r w:rsidR="00610176" w:rsidRPr="00651491">
        <w:rPr>
          <w:rFonts w:asciiTheme="minorHAnsi" w:hAnsiTheme="minorHAnsi" w:cs="Arial"/>
          <w:color w:val="000000"/>
          <w:sz w:val="22"/>
          <w:szCs w:val="22"/>
        </w:rPr>
        <w:t xml:space="preserve"> exigid</w:t>
      </w:r>
      <w:r w:rsidR="00613E2D" w:rsidRPr="00651491">
        <w:rPr>
          <w:rFonts w:asciiTheme="minorHAnsi" w:hAnsiTheme="minorHAnsi" w:cs="Arial"/>
          <w:color w:val="000000"/>
          <w:sz w:val="22"/>
          <w:szCs w:val="22"/>
        </w:rPr>
        <w:t>os</w:t>
      </w:r>
      <w:r w:rsidR="00610176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13E2D" w:rsidRPr="00651491">
        <w:rPr>
          <w:rFonts w:asciiTheme="minorHAnsi" w:hAnsiTheme="minorHAnsi" w:cs="Arial"/>
          <w:color w:val="000000"/>
          <w:sz w:val="22"/>
          <w:szCs w:val="22"/>
        </w:rPr>
        <w:t xml:space="preserve">conforme </w:t>
      </w:r>
      <w:r w:rsidR="00610176" w:rsidRPr="00651491">
        <w:rPr>
          <w:rFonts w:asciiTheme="minorHAnsi" w:hAnsiTheme="minorHAnsi" w:cs="Arial"/>
          <w:color w:val="000000"/>
          <w:sz w:val="22"/>
          <w:szCs w:val="22"/>
        </w:rPr>
        <w:t>art. 31, inciso I, da Lei 8.666/93 para qualificação econômico-financeira de “empresas” licitantes.</w:t>
      </w:r>
      <w:r w:rsidR="00EE6796" w:rsidRPr="00651491">
        <w:rPr>
          <w:rStyle w:val="Refdenotaderodap"/>
          <w:rFonts w:asciiTheme="minorHAnsi" w:hAnsiTheme="minorHAnsi" w:cs="Arial"/>
          <w:color w:val="000000"/>
          <w:sz w:val="22"/>
          <w:szCs w:val="22"/>
        </w:rPr>
        <w:footnoteReference w:id="2"/>
      </w:r>
    </w:p>
    <w:p w14:paraId="036AE160" w14:textId="77777777" w:rsidR="00AC699B" w:rsidRPr="00651491" w:rsidRDefault="00AC699B" w:rsidP="00AC699B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651491">
        <w:rPr>
          <w:rFonts w:asciiTheme="minorHAnsi" w:hAnsiTheme="minorHAnsi" w:cs="Arial"/>
          <w:sz w:val="22"/>
          <w:szCs w:val="22"/>
        </w:rPr>
        <w:t xml:space="preserve">Para as sociedades anônimas, regidas pela Lei 6.404/1976, o balanço patrimonial e as demonstrações contábeis do último exercício social devem ter sido, cumulativamente, registrados e arquivados na junta comercial; publicados na imprensa oficial; e publicados em jornal de grande circulação. Para as demais empresas, o balanço patrimonial e as demonstrações </w:t>
      </w:r>
      <w:r w:rsidRPr="00651491">
        <w:rPr>
          <w:rFonts w:asciiTheme="minorHAnsi" w:hAnsiTheme="minorHAnsi" w:cs="Arial"/>
          <w:sz w:val="22"/>
          <w:szCs w:val="22"/>
        </w:rPr>
        <w:lastRenderedPageBreak/>
        <w:t>contábeis devem constar das páginas correspondentes do Livro Diário, também devidamente autenticado na Junta Comercial.</w:t>
      </w:r>
    </w:p>
    <w:p w14:paraId="126E60CF" w14:textId="670E9DDE" w:rsidR="00DB7B30" w:rsidRPr="00651491" w:rsidRDefault="005D057C" w:rsidP="00491616">
      <w:pPr>
        <w:pStyle w:val="textbody"/>
        <w:spacing w:before="0" w:beforeAutospacing="0" w:after="120" w:afterAutospacing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ab/>
        <w:t>A</w:t>
      </w:r>
      <w:r w:rsidR="00744DAD" w:rsidRPr="00651491">
        <w:rPr>
          <w:rFonts w:asciiTheme="minorHAnsi" w:hAnsiTheme="minorHAnsi" w:cs="Arial"/>
          <w:color w:val="000000"/>
          <w:sz w:val="22"/>
          <w:szCs w:val="22"/>
        </w:rPr>
        <w:t>o se interpretar a norma jurídica</w:t>
      </w:r>
      <w:r w:rsidR="00667463" w:rsidRPr="00651491">
        <w:rPr>
          <w:rFonts w:asciiTheme="minorHAnsi" w:hAnsiTheme="minorHAnsi" w:cs="Arial"/>
          <w:color w:val="000000"/>
          <w:sz w:val="22"/>
          <w:szCs w:val="22"/>
        </w:rPr>
        <w:t xml:space="preserve"> da MP 931/2020</w:t>
      </w:r>
      <w:r w:rsidR="00744DAD" w:rsidRPr="00651491">
        <w:rPr>
          <w:rFonts w:asciiTheme="minorHAnsi" w:hAnsiTheme="minorHAnsi" w:cs="Arial"/>
          <w:color w:val="000000"/>
          <w:sz w:val="22"/>
          <w:szCs w:val="22"/>
        </w:rPr>
        <w:t>, percebe-se a</w:t>
      </w:r>
      <w:r w:rsidR="004B2DA7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intenção </w:t>
      </w:r>
      <w:r w:rsidR="004B2DA7" w:rsidRPr="00651491">
        <w:rPr>
          <w:rFonts w:asciiTheme="minorHAnsi" w:hAnsiTheme="minorHAnsi" w:cs="Arial"/>
          <w:color w:val="000000"/>
          <w:sz w:val="22"/>
          <w:szCs w:val="22"/>
        </w:rPr>
        <w:t>em propiciar</w:t>
      </w:r>
      <w:r w:rsidR="009A3F23" w:rsidRPr="00651491">
        <w:rPr>
          <w:rFonts w:asciiTheme="minorHAnsi" w:hAnsiTheme="minorHAnsi" w:cs="Arial"/>
          <w:color w:val="000000"/>
          <w:sz w:val="22"/>
          <w:szCs w:val="22"/>
        </w:rPr>
        <w:t xml:space="preserve"> benef</w:t>
      </w:r>
      <w:r w:rsidR="004B2DA7" w:rsidRPr="00651491">
        <w:rPr>
          <w:rFonts w:asciiTheme="minorHAnsi" w:hAnsiTheme="minorHAnsi" w:cs="Arial"/>
          <w:color w:val="000000"/>
          <w:sz w:val="22"/>
          <w:szCs w:val="22"/>
        </w:rPr>
        <w:t xml:space="preserve">ício </w:t>
      </w:r>
      <w:r w:rsidR="009A3F23" w:rsidRPr="00651491">
        <w:rPr>
          <w:rFonts w:asciiTheme="minorHAnsi" w:hAnsiTheme="minorHAnsi" w:cs="Arial"/>
          <w:color w:val="000000"/>
          <w:sz w:val="22"/>
          <w:szCs w:val="22"/>
        </w:rPr>
        <w:t xml:space="preserve">aos interessados, flexibilizando, </w:t>
      </w:r>
      <w:r w:rsidR="009A3F23" w:rsidRPr="00651491">
        <w:rPr>
          <w:rFonts w:asciiTheme="minorHAnsi" w:hAnsiTheme="minorHAnsi" w:cs="Arial"/>
          <w:color w:val="000000"/>
          <w:sz w:val="22"/>
          <w:szCs w:val="22"/>
          <w:u w:val="single"/>
        </w:rPr>
        <w:t>de forma excepcional</w:t>
      </w:r>
      <w:r w:rsidR="009A3F23" w:rsidRPr="00651491">
        <w:rPr>
          <w:rFonts w:asciiTheme="minorHAnsi" w:hAnsiTheme="minorHAnsi" w:cs="Arial"/>
          <w:color w:val="000000"/>
          <w:sz w:val="22"/>
          <w:szCs w:val="22"/>
        </w:rPr>
        <w:t>, o prazo para o arquivamento prévio de</w:t>
      </w:r>
      <w:r w:rsidR="000D72AE" w:rsidRPr="00651491">
        <w:rPr>
          <w:rFonts w:asciiTheme="minorHAnsi" w:hAnsiTheme="minorHAnsi" w:cs="Arial"/>
          <w:color w:val="000000"/>
          <w:sz w:val="22"/>
          <w:szCs w:val="22"/>
        </w:rPr>
        <w:t>sses</w:t>
      </w:r>
      <w:r w:rsidR="009A3F23" w:rsidRPr="00651491">
        <w:rPr>
          <w:rFonts w:asciiTheme="minorHAnsi" w:hAnsiTheme="minorHAnsi" w:cs="Arial"/>
          <w:color w:val="000000"/>
          <w:sz w:val="22"/>
          <w:szCs w:val="22"/>
        </w:rPr>
        <w:t xml:space="preserve"> atos nas juntas comerciais, </w:t>
      </w:r>
      <w:r w:rsidR="00D725EC" w:rsidRPr="00651491">
        <w:rPr>
          <w:rFonts w:asciiTheme="minorHAnsi" w:hAnsiTheme="minorHAnsi" w:cs="Arial"/>
          <w:color w:val="000000"/>
          <w:sz w:val="22"/>
          <w:szCs w:val="22"/>
        </w:rPr>
        <w:t>em decorrência d</w:t>
      </w:r>
      <w:r w:rsidR="009A3F23" w:rsidRPr="00651491">
        <w:rPr>
          <w:rFonts w:asciiTheme="minorHAnsi" w:hAnsiTheme="minorHAnsi" w:cs="Arial"/>
          <w:color w:val="000000"/>
          <w:sz w:val="22"/>
          <w:szCs w:val="22"/>
        </w:rPr>
        <w:t xml:space="preserve">o atual cenário de pandemia, </w:t>
      </w:r>
      <w:r w:rsidR="00744DAD" w:rsidRPr="00651491">
        <w:rPr>
          <w:rFonts w:asciiTheme="minorHAnsi" w:hAnsiTheme="minorHAnsi" w:cs="Arial"/>
          <w:color w:val="000000"/>
          <w:sz w:val="22"/>
          <w:szCs w:val="22"/>
        </w:rPr>
        <w:t xml:space="preserve">em que o funcionamento </w:t>
      </w:r>
      <w:r w:rsidR="00DE2C2D" w:rsidRPr="00651491">
        <w:rPr>
          <w:rFonts w:asciiTheme="minorHAnsi" w:hAnsiTheme="minorHAnsi" w:cs="Arial"/>
          <w:color w:val="000000"/>
          <w:sz w:val="22"/>
          <w:szCs w:val="22"/>
        </w:rPr>
        <w:t>restrito e não presencial</w:t>
      </w:r>
      <w:r w:rsidR="00744DAD" w:rsidRPr="00651491">
        <w:rPr>
          <w:rFonts w:asciiTheme="minorHAnsi" w:hAnsiTheme="minorHAnsi" w:cs="Arial"/>
          <w:color w:val="000000"/>
          <w:sz w:val="22"/>
          <w:szCs w:val="22"/>
        </w:rPr>
        <w:t xml:space="preserve"> desses órgãos </w:t>
      </w:r>
      <w:r w:rsidR="00DE2C2D" w:rsidRPr="00651491">
        <w:rPr>
          <w:rFonts w:asciiTheme="minorHAnsi" w:hAnsiTheme="minorHAnsi" w:cs="Arial"/>
          <w:color w:val="000000"/>
          <w:sz w:val="22"/>
          <w:szCs w:val="22"/>
        </w:rPr>
        <w:t>possivelmente impede tal arquivamento.</w:t>
      </w:r>
    </w:p>
    <w:p w14:paraId="2E03D189" w14:textId="7690532E" w:rsidR="005D5008" w:rsidRPr="00651491" w:rsidRDefault="00EA572B" w:rsidP="000D060D">
      <w:pPr>
        <w:pStyle w:val="textbody"/>
        <w:spacing w:before="0" w:beforeAutospacing="0" w:after="120" w:afterAutospacing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ab/>
        <w:t>A</w:t>
      </w:r>
      <w:r w:rsidR="00612AAC" w:rsidRPr="00651491">
        <w:rPr>
          <w:rFonts w:asciiTheme="minorHAnsi" w:hAnsiTheme="minorHAnsi" w:cs="Arial"/>
          <w:color w:val="000000"/>
          <w:sz w:val="22"/>
          <w:szCs w:val="22"/>
        </w:rPr>
        <w:t>ssi</w:t>
      </w:r>
      <w:r w:rsidR="001718B4" w:rsidRPr="00651491">
        <w:rPr>
          <w:rFonts w:asciiTheme="minorHAnsi" w:hAnsiTheme="minorHAnsi" w:cs="Arial"/>
          <w:color w:val="000000"/>
          <w:sz w:val="22"/>
          <w:szCs w:val="22"/>
        </w:rPr>
        <w:t>m</w:t>
      </w:r>
      <w:r w:rsidR="00612AAC" w:rsidRPr="00651491">
        <w:rPr>
          <w:rFonts w:asciiTheme="minorHAnsi" w:hAnsiTheme="minorHAnsi" w:cs="Arial"/>
          <w:color w:val="000000"/>
          <w:sz w:val="22"/>
          <w:szCs w:val="22"/>
        </w:rPr>
        <w:t>, a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Medida Provisória</w:t>
      </w:r>
      <w:r w:rsidR="009166A5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>trabalha com a hipótese de que o arquivamento/registro</w:t>
      </w:r>
      <w:r w:rsidR="0059475E" w:rsidRPr="00651491">
        <w:rPr>
          <w:rFonts w:asciiTheme="minorHAnsi" w:hAnsiTheme="minorHAnsi" w:cs="Arial"/>
          <w:color w:val="000000"/>
          <w:sz w:val="22"/>
          <w:szCs w:val="22"/>
        </w:rPr>
        <w:t xml:space="preserve"> presencial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 desses atos ficou impossibilitado enquanto as juntas comerciais não restabelecerem a prestação regular dos seus serviços</w:t>
      </w:r>
      <w:r w:rsidR="000D060D" w:rsidRPr="00651491">
        <w:rPr>
          <w:rFonts w:asciiTheme="minorHAnsi" w:hAnsiTheme="minorHAnsi" w:cs="Arial"/>
          <w:color w:val="000000"/>
          <w:sz w:val="22"/>
          <w:szCs w:val="22"/>
        </w:rPr>
        <w:t xml:space="preserve">, ou seja, enquanto </w:t>
      </w:r>
      <w:r w:rsidR="005D5008" w:rsidRPr="00651491">
        <w:rPr>
          <w:rFonts w:asciiTheme="minorHAnsi" w:hAnsiTheme="minorHAnsi" w:cs="Arial"/>
          <w:color w:val="000000"/>
          <w:sz w:val="22"/>
          <w:szCs w:val="22"/>
        </w:rPr>
        <w:t xml:space="preserve">durarem as medidas restritivas ao </w:t>
      </w:r>
      <w:r w:rsidR="000D060D" w:rsidRPr="00651491">
        <w:rPr>
          <w:rFonts w:asciiTheme="minorHAnsi" w:hAnsiTheme="minorHAnsi" w:cs="Arial"/>
          <w:color w:val="000000"/>
          <w:sz w:val="22"/>
          <w:szCs w:val="22"/>
        </w:rPr>
        <w:t xml:space="preserve">seu funcionamento normal em </w:t>
      </w:r>
      <w:r w:rsidR="005D5008" w:rsidRPr="00651491">
        <w:rPr>
          <w:rFonts w:asciiTheme="minorHAnsi" w:hAnsiTheme="minorHAnsi" w:cs="Arial"/>
          <w:color w:val="000000"/>
          <w:sz w:val="22"/>
          <w:szCs w:val="22"/>
        </w:rPr>
        <w:t>decorr</w:t>
      </w:r>
      <w:r w:rsidR="000D060D" w:rsidRPr="00651491">
        <w:rPr>
          <w:rFonts w:asciiTheme="minorHAnsi" w:hAnsiTheme="minorHAnsi" w:cs="Arial"/>
          <w:color w:val="000000"/>
          <w:sz w:val="22"/>
          <w:szCs w:val="22"/>
        </w:rPr>
        <w:t xml:space="preserve">ência </w:t>
      </w:r>
      <w:r w:rsidR="005D5008" w:rsidRPr="00651491">
        <w:rPr>
          <w:rFonts w:asciiTheme="minorHAnsi" w:hAnsiTheme="minorHAnsi" w:cs="Arial"/>
          <w:color w:val="000000"/>
          <w:sz w:val="22"/>
          <w:szCs w:val="22"/>
        </w:rPr>
        <w:t>da pandemia da</w:t>
      </w:r>
      <w:r w:rsidR="000D060D" w:rsidRPr="00651491">
        <w:rPr>
          <w:rFonts w:asciiTheme="minorHAnsi" w:hAnsiTheme="minorHAnsi" w:cs="Arial"/>
          <w:color w:val="000000"/>
          <w:sz w:val="22"/>
          <w:szCs w:val="22"/>
        </w:rPr>
        <w:t xml:space="preserve"> Covid-19.</w:t>
      </w:r>
    </w:p>
    <w:p w14:paraId="68DAD8D3" w14:textId="6A5BAF90" w:rsidR="00B06C0A" w:rsidRPr="00651491" w:rsidRDefault="008149F8" w:rsidP="008149F8">
      <w:pPr>
        <w:pStyle w:val="textbody"/>
        <w:spacing w:before="0" w:beforeAutospacing="0" w:after="120" w:afterAutospacing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ab/>
      </w:r>
      <w:r w:rsidR="000605AA" w:rsidRPr="00651491">
        <w:rPr>
          <w:rFonts w:asciiTheme="minorHAnsi" w:hAnsiTheme="minorHAnsi" w:cs="Arial"/>
          <w:color w:val="000000"/>
          <w:sz w:val="22"/>
          <w:szCs w:val="22"/>
        </w:rPr>
        <w:t>N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o caso de Mato Grosso,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>em razão d</w:t>
      </w:r>
      <w:r w:rsidR="00B21DD3" w:rsidRPr="00651491">
        <w:rPr>
          <w:rFonts w:asciiTheme="minorHAnsi" w:hAnsiTheme="minorHAnsi" w:cs="Arial"/>
          <w:color w:val="000000"/>
          <w:sz w:val="22"/>
          <w:szCs w:val="22"/>
        </w:rPr>
        <w:t>a decretação</w:t>
      </w:r>
      <w:r w:rsidR="00612AAC" w:rsidRPr="00651491">
        <w:rPr>
          <w:rFonts w:asciiTheme="minorHAnsi" w:hAnsiTheme="minorHAnsi" w:cs="Arial"/>
          <w:color w:val="000000"/>
          <w:sz w:val="22"/>
          <w:szCs w:val="22"/>
        </w:rPr>
        <w:t xml:space="preserve"> pelo governo estadual</w:t>
      </w:r>
      <w:r w:rsidR="00B21DD3" w:rsidRPr="00651491">
        <w:rPr>
          <w:rFonts w:asciiTheme="minorHAnsi" w:hAnsiTheme="minorHAnsi" w:cs="Arial"/>
          <w:color w:val="000000"/>
          <w:sz w:val="22"/>
          <w:szCs w:val="22"/>
        </w:rPr>
        <w:t xml:space="preserve"> de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 condições de trabalho extraordinárias como forma de enfrentamento </w:t>
      </w:r>
      <w:r w:rsidR="009A2F1A" w:rsidRPr="00651491">
        <w:rPr>
          <w:rFonts w:asciiTheme="minorHAnsi" w:hAnsiTheme="minorHAnsi" w:cs="Arial"/>
          <w:color w:val="000000"/>
          <w:sz w:val="22"/>
          <w:szCs w:val="22"/>
        </w:rPr>
        <w:t>à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 Covid-19</w:t>
      </w:r>
      <w:r w:rsidR="003D42B5" w:rsidRPr="00651491">
        <w:rPr>
          <w:rStyle w:val="Refdenotaderodap"/>
          <w:rFonts w:asciiTheme="minorHAnsi" w:hAnsiTheme="minorHAnsi" w:cs="Arial"/>
          <w:color w:val="000000"/>
          <w:sz w:val="22"/>
          <w:szCs w:val="22"/>
        </w:rPr>
        <w:footnoteReference w:id="3"/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291103" w:rsidRPr="00651491">
        <w:rPr>
          <w:rFonts w:asciiTheme="minorHAnsi" w:hAnsiTheme="minorHAnsi" w:cs="Arial"/>
          <w:color w:val="000000"/>
          <w:sz w:val="22"/>
          <w:szCs w:val="22"/>
        </w:rPr>
        <w:t>a</w:t>
      </w:r>
      <w:r w:rsidR="00D936C4" w:rsidRPr="00651491">
        <w:rPr>
          <w:rFonts w:asciiTheme="minorHAnsi" w:hAnsiTheme="minorHAnsi" w:cs="Arial"/>
          <w:color w:val="000000"/>
          <w:sz w:val="22"/>
          <w:szCs w:val="22"/>
        </w:rPr>
        <w:t xml:space="preserve"> Junta Comercial do Estado de Mato Grosso – </w:t>
      </w:r>
      <w:proofErr w:type="spellStart"/>
      <w:r w:rsidR="00D936C4" w:rsidRPr="00651491">
        <w:rPr>
          <w:rFonts w:asciiTheme="minorHAnsi" w:hAnsiTheme="minorHAnsi" w:cs="Arial"/>
          <w:color w:val="000000"/>
          <w:sz w:val="22"/>
          <w:szCs w:val="22"/>
        </w:rPr>
        <w:t>J</w:t>
      </w:r>
      <w:r w:rsidR="00291103" w:rsidRPr="00651491">
        <w:rPr>
          <w:rFonts w:asciiTheme="minorHAnsi" w:hAnsiTheme="minorHAnsi" w:cs="Arial"/>
          <w:color w:val="000000"/>
          <w:sz w:val="22"/>
          <w:szCs w:val="22"/>
        </w:rPr>
        <w:t>ucemat</w:t>
      </w:r>
      <w:proofErr w:type="spellEnd"/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 não está </w:t>
      </w:r>
      <w:r w:rsidR="007B3A1F" w:rsidRPr="00651491">
        <w:rPr>
          <w:rFonts w:asciiTheme="minorHAnsi" w:hAnsiTheme="minorHAnsi" w:cs="Arial"/>
          <w:color w:val="000000"/>
          <w:sz w:val="22"/>
          <w:szCs w:val="22"/>
        </w:rPr>
        <w:t xml:space="preserve">realizando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>atend</w:t>
      </w:r>
      <w:r w:rsidR="007B3A1F" w:rsidRPr="00651491">
        <w:rPr>
          <w:rFonts w:asciiTheme="minorHAnsi" w:hAnsiTheme="minorHAnsi" w:cs="Arial"/>
          <w:color w:val="000000"/>
          <w:sz w:val="22"/>
          <w:szCs w:val="22"/>
        </w:rPr>
        <w:t xml:space="preserve">imento presencial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ao público, mas unicamente de forma eletrônica por meio de </w:t>
      </w:r>
      <w:r w:rsidR="00B06C0A" w:rsidRPr="00651491">
        <w:rPr>
          <w:rFonts w:asciiTheme="minorHAnsi" w:hAnsiTheme="minorHAnsi" w:cs="Arial"/>
          <w:i/>
          <w:iCs/>
          <w:color w:val="000000"/>
          <w:sz w:val="22"/>
          <w:szCs w:val="22"/>
        </w:rPr>
        <w:t>chat online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 e e-mail.</w:t>
      </w:r>
    </w:p>
    <w:p w14:paraId="5422D3D2" w14:textId="4905B9C2" w:rsidR="00B06C0A" w:rsidRPr="00651491" w:rsidRDefault="004C09D5" w:rsidP="00B06C0A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>Acrescente-se que, c</w:t>
      </w:r>
      <w:r w:rsidR="00F90220" w:rsidRPr="00651491">
        <w:rPr>
          <w:rFonts w:asciiTheme="minorHAnsi" w:hAnsiTheme="minorHAnsi" w:cs="Arial"/>
          <w:color w:val="000000"/>
          <w:sz w:val="22"/>
          <w:szCs w:val="22"/>
        </w:rPr>
        <w:t>onforme Resolução Plenária</w:t>
      </w:r>
      <w:r w:rsidR="00636AE9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636AE9" w:rsidRPr="00651491">
        <w:rPr>
          <w:rFonts w:asciiTheme="minorHAnsi" w:hAnsiTheme="minorHAnsi" w:cs="Arial"/>
          <w:color w:val="000000"/>
          <w:sz w:val="22"/>
          <w:szCs w:val="22"/>
        </w:rPr>
        <w:t>Jucemat</w:t>
      </w:r>
      <w:proofErr w:type="spellEnd"/>
      <w:r w:rsidR="00F90220" w:rsidRPr="00651491">
        <w:rPr>
          <w:rFonts w:asciiTheme="minorHAnsi" w:hAnsiTheme="minorHAnsi" w:cs="Arial"/>
          <w:color w:val="000000"/>
          <w:sz w:val="22"/>
          <w:szCs w:val="22"/>
        </w:rPr>
        <w:t xml:space="preserve"> nº 003/2018</w:t>
      </w:r>
      <w:r w:rsidR="00F90220" w:rsidRPr="00651491">
        <w:rPr>
          <w:rStyle w:val="Refdenotaderodap"/>
          <w:rFonts w:asciiTheme="minorHAnsi" w:hAnsiTheme="minorHAnsi" w:cs="Arial"/>
          <w:sz w:val="22"/>
          <w:szCs w:val="22"/>
        </w:rPr>
        <w:footnoteReference w:id="4"/>
      </w:r>
      <w:r w:rsidR="00F90220" w:rsidRPr="00651491">
        <w:rPr>
          <w:rFonts w:asciiTheme="minorHAnsi" w:hAnsiTheme="minorHAnsi" w:cs="Arial"/>
          <w:color w:val="000000"/>
          <w:sz w:val="22"/>
          <w:szCs w:val="22"/>
        </w:rPr>
        <w:t xml:space="preserve"> (alterada pela Resolução Plenária nº 005/2018</w:t>
      </w:r>
      <w:r w:rsidR="00F90220" w:rsidRPr="00651491">
        <w:rPr>
          <w:rStyle w:val="Refdenotaderodap"/>
          <w:rFonts w:asciiTheme="minorHAnsi" w:hAnsiTheme="minorHAnsi" w:cs="Arial"/>
          <w:sz w:val="22"/>
          <w:szCs w:val="22"/>
        </w:rPr>
        <w:footnoteReference w:id="5"/>
      </w:r>
      <w:r w:rsidR="00F90220" w:rsidRPr="00651491">
        <w:rPr>
          <w:rFonts w:asciiTheme="minorHAnsi" w:hAnsiTheme="minorHAnsi" w:cs="Arial"/>
          <w:color w:val="000000"/>
          <w:sz w:val="22"/>
          <w:szCs w:val="22"/>
        </w:rPr>
        <w:t>)</w:t>
      </w:r>
      <w:r w:rsidR="00636AE9" w:rsidRPr="00651491">
        <w:rPr>
          <w:rFonts w:asciiTheme="minorHAnsi" w:hAnsiTheme="minorHAnsi" w:cs="Arial"/>
          <w:color w:val="000000"/>
          <w:sz w:val="22"/>
          <w:szCs w:val="22"/>
        </w:rPr>
        <w:t>, desde novembro de 2018 o registro de todos os atos de empresários, sociedades empresárias, empresa individual de responsabilidade limitada (EIRELI) e cooperativas, bem como dos agentes auxiliares do comércio, somente são aceitos por meio eletrônico digital, assinados pelos seus signatários com certificado digital, por meio do PORTAL DE SERVIÇOS da Junta Comercial.</w:t>
      </w:r>
    </w:p>
    <w:p w14:paraId="185557FC" w14:textId="044F73F1" w:rsidR="00D57614" w:rsidRPr="00651491" w:rsidRDefault="001718B4" w:rsidP="00C04FAD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Dessa forma,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se </w:t>
      </w:r>
      <w:r w:rsidR="00CA7B74" w:rsidRPr="00651491">
        <w:rPr>
          <w:rFonts w:asciiTheme="minorHAnsi" w:hAnsiTheme="minorHAnsi" w:cs="Arial"/>
          <w:color w:val="000000"/>
          <w:sz w:val="22"/>
          <w:szCs w:val="22"/>
        </w:rPr>
        <w:t>a “empresa”</w:t>
      </w:r>
      <w:r w:rsidR="00F11A4A" w:rsidRPr="00651491">
        <w:rPr>
          <w:rFonts w:asciiTheme="minorHAnsi" w:hAnsiTheme="minorHAnsi" w:cs="Arial"/>
          <w:color w:val="000000"/>
          <w:sz w:val="22"/>
          <w:szCs w:val="22"/>
        </w:rPr>
        <w:t xml:space="preserve"> interessad</w:t>
      </w:r>
      <w:r w:rsidR="00CA7B74" w:rsidRPr="00651491">
        <w:rPr>
          <w:rFonts w:asciiTheme="minorHAnsi" w:hAnsiTheme="minorHAnsi" w:cs="Arial"/>
          <w:color w:val="000000"/>
          <w:sz w:val="22"/>
          <w:szCs w:val="22"/>
        </w:rPr>
        <w:t>a</w:t>
      </w:r>
      <w:r w:rsidR="00F11A4A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>já est</w:t>
      </w:r>
      <w:r w:rsidR="00CA7B74" w:rsidRPr="00651491">
        <w:rPr>
          <w:rFonts w:asciiTheme="minorHAnsi" w:hAnsiTheme="minorHAnsi" w:cs="Arial"/>
          <w:color w:val="000000"/>
          <w:sz w:val="22"/>
          <w:szCs w:val="22"/>
        </w:rPr>
        <w:t>iver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 com seu balanço patrimonial </w:t>
      </w:r>
      <w:r w:rsidR="00E153E8" w:rsidRPr="00651491">
        <w:rPr>
          <w:rFonts w:asciiTheme="minorHAnsi" w:hAnsiTheme="minorHAnsi" w:cs="Arial"/>
          <w:color w:val="000000"/>
          <w:sz w:val="22"/>
          <w:szCs w:val="22"/>
        </w:rPr>
        <w:t xml:space="preserve">e demonstrações contábeis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do último exercício </w:t>
      </w:r>
      <w:r w:rsidR="0012285D" w:rsidRPr="00651491">
        <w:rPr>
          <w:rFonts w:asciiTheme="minorHAnsi" w:hAnsiTheme="minorHAnsi" w:cs="Arial"/>
          <w:color w:val="000000"/>
          <w:sz w:val="22"/>
          <w:szCs w:val="22"/>
        </w:rPr>
        <w:t xml:space="preserve">social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>devidamente elaborado</w:t>
      </w:r>
      <w:r w:rsidR="00E153E8" w:rsidRPr="00651491">
        <w:rPr>
          <w:rFonts w:asciiTheme="minorHAnsi" w:hAnsiTheme="minorHAnsi" w:cs="Arial"/>
          <w:color w:val="000000"/>
          <w:sz w:val="22"/>
          <w:szCs w:val="22"/>
        </w:rPr>
        <w:t>s</w:t>
      </w:r>
      <w:r w:rsidR="00E4727E" w:rsidRPr="00651491">
        <w:rPr>
          <w:rFonts w:asciiTheme="minorHAnsi" w:hAnsiTheme="minorHAnsi" w:cs="Arial"/>
          <w:color w:val="000000"/>
          <w:sz w:val="22"/>
          <w:szCs w:val="22"/>
        </w:rPr>
        <w:t>,</w:t>
      </w:r>
      <w:r w:rsidR="00771EF0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F306B" w:rsidRPr="00651491">
        <w:rPr>
          <w:rFonts w:asciiTheme="minorHAnsi" w:hAnsiTheme="minorHAnsi" w:cs="Arial"/>
          <w:color w:val="000000"/>
          <w:sz w:val="22"/>
          <w:szCs w:val="22"/>
        </w:rPr>
        <w:t>e em decorrência d</w:t>
      </w:r>
      <w:r w:rsidR="00AE3634" w:rsidRPr="00651491">
        <w:rPr>
          <w:rFonts w:asciiTheme="minorHAnsi" w:hAnsiTheme="minorHAnsi" w:cs="Arial"/>
          <w:color w:val="000000"/>
          <w:sz w:val="22"/>
          <w:szCs w:val="22"/>
        </w:rPr>
        <w:t>e sua</w:t>
      </w:r>
      <w:r w:rsidR="005F306B" w:rsidRPr="00651491">
        <w:rPr>
          <w:rFonts w:asciiTheme="minorHAnsi" w:hAnsiTheme="minorHAnsi" w:cs="Arial"/>
          <w:color w:val="000000"/>
          <w:sz w:val="22"/>
          <w:szCs w:val="22"/>
        </w:rPr>
        <w:t xml:space="preserve"> localização </w:t>
      </w:r>
      <w:r w:rsidR="00771EF0" w:rsidRPr="00651491">
        <w:rPr>
          <w:rFonts w:asciiTheme="minorHAnsi" w:hAnsiTheme="minorHAnsi" w:cs="Arial"/>
          <w:color w:val="000000"/>
          <w:sz w:val="22"/>
          <w:szCs w:val="22"/>
        </w:rPr>
        <w:t xml:space="preserve">deve </w:t>
      </w:r>
      <w:r w:rsidR="00B06C0A" w:rsidRPr="00651491">
        <w:rPr>
          <w:rFonts w:asciiTheme="minorHAnsi" w:hAnsiTheme="minorHAnsi" w:cs="Arial"/>
          <w:color w:val="000000"/>
          <w:sz w:val="22"/>
          <w:szCs w:val="22"/>
        </w:rPr>
        <w:t xml:space="preserve">solicitar o </w:t>
      </w:r>
      <w:r w:rsidR="0078315C" w:rsidRPr="00651491">
        <w:rPr>
          <w:rFonts w:asciiTheme="minorHAnsi" w:hAnsiTheme="minorHAnsi" w:cs="Arial"/>
          <w:color w:val="000000"/>
          <w:sz w:val="22"/>
          <w:szCs w:val="22"/>
        </w:rPr>
        <w:t xml:space="preserve">respectivo </w:t>
      </w:r>
      <w:r w:rsidR="007F1787" w:rsidRPr="00651491">
        <w:rPr>
          <w:rFonts w:asciiTheme="minorHAnsi" w:hAnsiTheme="minorHAnsi" w:cs="Arial"/>
          <w:color w:val="000000"/>
          <w:sz w:val="22"/>
          <w:szCs w:val="22"/>
        </w:rPr>
        <w:t>registro</w:t>
      </w:r>
      <w:r w:rsidR="00771EF0" w:rsidRPr="00651491">
        <w:rPr>
          <w:rFonts w:asciiTheme="minorHAnsi" w:hAnsiTheme="minorHAnsi" w:cs="Arial"/>
          <w:color w:val="000000"/>
          <w:sz w:val="22"/>
          <w:szCs w:val="22"/>
        </w:rPr>
        <w:t xml:space="preserve"> na </w:t>
      </w:r>
      <w:proofErr w:type="spellStart"/>
      <w:r w:rsidR="00771EF0" w:rsidRPr="00651491">
        <w:rPr>
          <w:rFonts w:asciiTheme="minorHAnsi" w:hAnsiTheme="minorHAnsi" w:cs="Arial"/>
          <w:color w:val="000000"/>
          <w:sz w:val="22"/>
          <w:szCs w:val="22"/>
        </w:rPr>
        <w:t>Jucemat</w:t>
      </w:r>
      <w:proofErr w:type="spellEnd"/>
      <w:r w:rsidR="00771EF0" w:rsidRPr="00651491">
        <w:rPr>
          <w:rFonts w:asciiTheme="minorHAnsi" w:hAnsiTheme="minorHAnsi" w:cs="Arial"/>
          <w:color w:val="000000"/>
          <w:sz w:val="22"/>
          <w:szCs w:val="22"/>
        </w:rPr>
        <w:t xml:space="preserve">, cabe fazê-lo </w:t>
      </w:r>
      <w:r w:rsidR="0078315C" w:rsidRPr="00651491">
        <w:rPr>
          <w:rFonts w:asciiTheme="minorHAnsi" w:hAnsiTheme="minorHAnsi" w:cs="Arial"/>
          <w:color w:val="000000"/>
          <w:sz w:val="22"/>
          <w:szCs w:val="22"/>
        </w:rPr>
        <w:t>por meio eletrônico e não de forma presencial</w:t>
      </w:r>
      <w:r w:rsidR="00CA69AE" w:rsidRPr="00651491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5B9D5AC" w14:textId="3EF36161" w:rsidR="006E4A8A" w:rsidRPr="00651491" w:rsidRDefault="00E75A41" w:rsidP="003F3ED8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Diante disso, aparentemente a regra excepcional trazida pela </w:t>
      </w:r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t>MP 931/2020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, ou seja, </w:t>
      </w:r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t xml:space="preserve">o adiamento de prazo para arquivamento prévio de atos empresariais em juntas comerciais, </w:t>
      </w:r>
      <w:r w:rsidR="00EC7688" w:rsidRPr="00651491">
        <w:rPr>
          <w:rFonts w:asciiTheme="minorHAnsi" w:hAnsiTheme="minorHAnsi" w:cs="Arial"/>
          <w:color w:val="000000"/>
          <w:sz w:val="22"/>
          <w:szCs w:val="22"/>
        </w:rPr>
        <w:t xml:space="preserve">carece </w:t>
      </w:r>
      <w:r w:rsidR="00105AA9" w:rsidRPr="00651491">
        <w:rPr>
          <w:rFonts w:asciiTheme="minorHAnsi" w:hAnsiTheme="minorHAnsi" w:cs="Arial"/>
          <w:color w:val="000000"/>
          <w:sz w:val="22"/>
          <w:szCs w:val="22"/>
        </w:rPr>
        <w:t>de</w:t>
      </w:r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t xml:space="preserve"> eficácia no caso </w:t>
      </w:r>
      <w:r w:rsidR="006E4A8A" w:rsidRPr="00651491">
        <w:rPr>
          <w:rFonts w:asciiTheme="minorHAnsi" w:hAnsiTheme="minorHAnsi" w:cs="Arial"/>
          <w:color w:val="000000"/>
          <w:sz w:val="22"/>
          <w:szCs w:val="22"/>
        </w:rPr>
        <w:t>de necessário registro</w:t>
      </w:r>
      <w:r w:rsidR="003F3ED8" w:rsidRPr="00651491">
        <w:rPr>
          <w:rFonts w:asciiTheme="minorHAnsi" w:hAnsiTheme="minorHAnsi" w:cs="Arial"/>
          <w:color w:val="000000"/>
          <w:sz w:val="22"/>
          <w:szCs w:val="22"/>
        </w:rPr>
        <w:t>/arquivamento</w:t>
      </w:r>
      <w:r w:rsidR="006E4A8A" w:rsidRPr="00651491">
        <w:rPr>
          <w:rFonts w:asciiTheme="minorHAnsi" w:hAnsiTheme="minorHAnsi" w:cs="Arial"/>
          <w:color w:val="000000"/>
          <w:sz w:val="22"/>
          <w:szCs w:val="22"/>
        </w:rPr>
        <w:t xml:space="preserve"> de atos negociais </w:t>
      </w:r>
      <w:r w:rsidR="003F3ED8" w:rsidRPr="00651491">
        <w:rPr>
          <w:rFonts w:asciiTheme="minorHAnsi" w:hAnsiTheme="minorHAnsi" w:cs="Arial"/>
          <w:color w:val="000000"/>
          <w:sz w:val="22"/>
          <w:szCs w:val="22"/>
        </w:rPr>
        <w:t xml:space="preserve">no âmbito </w:t>
      </w:r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t xml:space="preserve">da </w:t>
      </w:r>
      <w:proofErr w:type="spellStart"/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lastRenderedPageBreak/>
        <w:t>Jucemat</w:t>
      </w:r>
      <w:proofErr w:type="spellEnd"/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t>, tendo em vista que tal registro no órgão</w:t>
      </w:r>
      <w:r w:rsidR="003F3ED8" w:rsidRPr="00651491">
        <w:rPr>
          <w:rFonts w:asciiTheme="minorHAnsi" w:hAnsiTheme="minorHAnsi" w:cs="Arial"/>
          <w:color w:val="000000"/>
          <w:sz w:val="22"/>
          <w:szCs w:val="22"/>
        </w:rPr>
        <w:t xml:space="preserve"> mato-grossense</w:t>
      </w:r>
      <w:r w:rsidR="00DF7BC6" w:rsidRPr="00651491">
        <w:rPr>
          <w:rFonts w:asciiTheme="minorHAnsi" w:hAnsiTheme="minorHAnsi" w:cs="Arial"/>
          <w:color w:val="000000"/>
          <w:sz w:val="22"/>
          <w:szCs w:val="22"/>
        </w:rPr>
        <w:t xml:space="preserve"> é feito de forma digital, desde novembro/2018, não havendo necessidade de apresentação dos atos de forma presencial.</w:t>
      </w:r>
    </w:p>
    <w:p w14:paraId="5A96D6DA" w14:textId="77777777" w:rsidR="00005888" w:rsidRPr="00651491" w:rsidRDefault="0097127B" w:rsidP="0082702E">
      <w:pPr>
        <w:pStyle w:val="Textodecomentrio"/>
        <w:spacing w:line="360" w:lineRule="auto"/>
        <w:ind w:firstLine="708"/>
        <w:jc w:val="both"/>
        <w:rPr>
          <w:rFonts w:cs="Arial"/>
          <w:color w:val="000000"/>
          <w:sz w:val="22"/>
          <w:szCs w:val="22"/>
        </w:rPr>
      </w:pPr>
      <w:r w:rsidRPr="00651491">
        <w:rPr>
          <w:rFonts w:cs="Arial"/>
          <w:color w:val="000000" w:themeColor="text1"/>
          <w:sz w:val="22"/>
          <w:szCs w:val="22"/>
        </w:rPr>
        <w:t xml:space="preserve">No entanto, </w:t>
      </w:r>
      <w:r w:rsidR="007B63ED" w:rsidRPr="00651491">
        <w:rPr>
          <w:rFonts w:cs="Arial"/>
          <w:color w:val="000000" w:themeColor="text1"/>
          <w:sz w:val="22"/>
          <w:szCs w:val="22"/>
        </w:rPr>
        <w:t xml:space="preserve">há que se frisar que a norma </w:t>
      </w:r>
      <w:r w:rsidR="00A77C69" w:rsidRPr="00651491">
        <w:rPr>
          <w:rFonts w:cs="Arial"/>
          <w:color w:val="000000"/>
          <w:sz w:val="22"/>
          <w:szCs w:val="22"/>
        </w:rPr>
        <w:t>jurídica da MP 931/2020</w:t>
      </w:r>
      <w:r w:rsidR="007B63ED" w:rsidRPr="00651491">
        <w:rPr>
          <w:rFonts w:cs="Arial"/>
          <w:color w:val="000000"/>
          <w:sz w:val="22"/>
          <w:szCs w:val="22"/>
        </w:rPr>
        <w:t xml:space="preserve"> (art. 6°, II) estabeleceu um benefício de prazo excepcional </w:t>
      </w:r>
      <w:r w:rsidR="00A77C69" w:rsidRPr="00651491">
        <w:rPr>
          <w:rFonts w:cs="Arial"/>
          <w:color w:val="000000"/>
          <w:sz w:val="22"/>
          <w:szCs w:val="22"/>
        </w:rPr>
        <w:t xml:space="preserve">para o arquivamento prévio desses atos nas juntas comerciais, </w:t>
      </w:r>
      <w:r w:rsidR="007B63ED" w:rsidRPr="00651491">
        <w:rPr>
          <w:rFonts w:cs="Arial"/>
          <w:color w:val="000000"/>
          <w:sz w:val="22"/>
          <w:szCs w:val="22"/>
        </w:rPr>
        <w:t xml:space="preserve">levando em consideração o </w:t>
      </w:r>
      <w:r w:rsidR="00A77C69" w:rsidRPr="00651491">
        <w:rPr>
          <w:rFonts w:cs="Arial"/>
          <w:color w:val="000000"/>
          <w:sz w:val="22"/>
          <w:szCs w:val="22"/>
        </w:rPr>
        <w:t>atual cenário de pandemia</w:t>
      </w:r>
      <w:r w:rsidR="007B63ED" w:rsidRPr="00651491">
        <w:rPr>
          <w:rFonts w:cs="Arial"/>
          <w:color w:val="000000"/>
          <w:sz w:val="22"/>
          <w:szCs w:val="22"/>
        </w:rPr>
        <w:t xml:space="preserve"> da Covid-19.</w:t>
      </w:r>
      <w:r w:rsidR="0082702E" w:rsidRPr="00651491">
        <w:rPr>
          <w:rFonts w:cs="Arial"/>
          <w:color w:val="000000"/>
          <w:sz w:val="22"/>
          <w:szCs w:val="22"/>
        </w:rPr>
        <w:t xml:space="preserve"> </w:t>
      </w:r>
    </w:p>
    <w:p w14:paraId="72ECDFF7" w14:textId="758AB107" w:rsidR="00FF7550" w:rsidRPr="00651491" w:rsidRDefault="00C3217A" w:rsidP="0082702E">
      <w:pPr>
        <w:pStyle w:val="Textodecomentrio"/>
        <w:spacing w:line="360" w:lineRule="aut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651491">
        <w:rPr>
          <w:rFonts w:cs="Arial"/>
          <w:color w:val="000000" w:themeColor="text1"/>
          <w:sz w:val="22"/>
          <w:szCs w:val="22"/>
        </w:rPr>
        <w:t xml:space="preserve">Desse modo, o fato de a </w:t>
      </w:r>
      <w:proofErr w:type="spellStart"/>
      <w:r w:rsidRPr="00651491">
        <w:rPr>
          <w:rFonts w:cs="Arial"/>
          <w:color w:val="000000" w:themeColor="text1"/>
          <w:sz w:val="22"/>
          <w:szCs w:val="22"/>
        </w:rPr>
        <w:t>Jucemat</w:t>
      </w:r>
      <w:proofErr w:type="spellEnd"/>
      <w:r w:rsidR="0082702E" w:rsidRPr="00651491">
        <w:rPr>
          <w:rFonts w:cs="Arial"/>
          <w:color w:val="000000" w:themeColor="text1"/>
          <w:sz w:val="22"/>
          <w:szCs w:val="22"/>
        </w:rPr>
        <w:t xml:space="preserve">, </w:t>
      </w:r>
      <w:r w:rsidRPr="00651491">
        <w:rPr>
          <w:rFonts w:cs="Arial"/>
          <w:color w:val="000000" w:themeColor="text1"/>
          <w:sz w:val="22"/>
          <w:szCs w:val="22"/>
        </w:rPr>
        <w:t xml:space="preserve">ou até </w:t>
      </w:r>
      <w:r w:rsidR="0082702E" w:rsidRPr="00651491">
        <w:rPr>
          <w:rFonts w:cs="Arial"/>
          <w:color w:val="000000" w:themeColor="text1"/>
          <w:sz w:val="22"/>
          <w:szCs w:val="22"/>
        </w:rPr>
        <w:t xml:space="preserve">mesmo </w:t>
      </w:r>
      <w:r w:rsidRPr="00651491">
        <w:rPr>
          <w:rFonts w:cs="Arial"/>
          <w:color w:val="000000" w:themeColor="text1"/>
          <w:sz w:val="22"/>
          <w:szCs w:val="22"/>
        </w:rPr>
        <w:t>outras juntas comerciais pelo país</w:t>
      </w:r>
      <w:r w:rsidR="0082702E" w:rsidRPr="00651491">
        <w:rPr>
          <w:rFonts w:cs="Arial"/>
          <w:color w:val="000000" w:themeColor="text1"/>
          <w:sz w:val="22"/>
          <w:szCs w:val="22"/>
        </w:rPr>
        <w:t xml:space="preserve">, </w:t>
      </w:r>
      <w:r w:rsidRPr="00651491">
        <w:rPr>
          <w:rFonts w:cs="Arial"/>
          <w:color w:val="000000" w:themeColor="text1"/>
          <w:sz w:val="22"/>
          <w:szCs w:val="22"/>
        </w:rPr>
        <w:t>receb</w:t>
      </w:r>
      <w:r w:rsidR="0082702E" w:rsidRPr="00651491">
        <w:rPr>
          <w:rFonts w:cs="Arial"/>
          <w:color w:val="000000" w:themeColor="text1"/>
          <w:sz w:val="22"/>
          <w:szCs w:val="22"/>
        </w:rPr>
        <w:t>er</w:t>
      </w:r>
      <w:r w:rsidR="000C1EF6" w:rsidRPr="00651491">
        <w:rPr>
          <w:rFonts w:cs="Arial"/>
          <w:color w:val="000000" w:themeColor="text1"/>
          <w:sz w:val="22"/>
          <w:szCs w:val="22"/>
        </w:rPr>
        <w:t>em</w:t>
      </w:r>
      <w:r w:rsidRPr="00651491">
        <w:rPr>
          <w:rFonts w:cs="Arial"/>
          <w:color w:val="000000" w:themeColor="text1"/>
          <w:sz w:val="22"/>
          <w:szCs w:val="22"/>
        </w:rPr>
        <w:t xml:space="preserve"> documentos exclusivamente p</w:t>
      </w:r>
      <w:r w:rsidR="0082702E" w:rsidRPr="00651491">
        <w:rPr>
          <w:rFonts w:cs="Arial"/>
          <w:color w:val="000000" w:themeColor="text1"/>
          <w:sz w:val="22"/>
          <w:szCs w:val="22"/>
        </w:rPr>
        <w:t xml:space="preserve">or meio eletrônico digital, </w:t>
      </w:r>
      <w:r w:rsidRPr="00651491">
        <w:rPr>
          <w:rFonts w:cs="Arial"/>
          <w:color w:val="000000" w:themeColor="text1"/>
          <w:sz w:val="22"/>
          <w:szCs w:val="22"/>
        </w:rPr>
        <w:t xml:space="preserve">não deve prejudicar a eficácia da </w:t>
      </w:r>
      <w:r w:rsidR="000C1EF6" w:rsidRPr="00651491">
        <w:rPr>
          <w:rFonts w:cs="Arial"/>
          <w:color w:val="000000" w:themeColor="text1"/>
          <w:sz w:val="22"/>
          <w:szCs w:val="22"/>
        </w:rPr>
        <w:t>MP 931/2020</w:t>
      </w:r>
      <w:r w:rsidRPr="00651491">
        <w:rPr>
          <w:rFonts w:cs="Arial"/>
          <w:color w:val="000000" w:themeColor="text1"/>
          <w:sz w:val="22"/>
          <w:szCs w:val="22"/>
        </w:rPr>
        <w:t xml:space="preserve"> nesse aspecto, pois</w:t>
      </w:r>
      <w:r w:rsidR="00005888" w:rsidRPr="00651491">
        <w:rPr>
          <w:rFonts w:cs="Arial"/>
          <w:color w:val="000000" w:themeColor="text1"/>
          <w:sz w:val="22"/>
          <w:szCs w:val="22"/>
        </w:rPr>
        <w:t>,</w:t>
      </w:r>
      <w:r w:rsidRPr="00651491">
        <w:rPr>
          <w:rFonts w:cs="Arial"/>
          <w:color w:val="000000" w:themeColor="text1"/>
          <w:sz w:val="22"/>
          <w:szCs w:val="22"/>
        </w:rPr>
        <w:t xml:space="preserve"> nos </w:t>
      </w:r>
      <w:r w:rsidR="00FF7550" w:rsidRPr="00651491">
        <w:rPr>
          <w:rFonts w:cs="Arial"/>
          <w:color w:val="000000" w:themeColor="text1"/>
          <w:sz w:val="22"/>
          <w:szCs w:val="22"/>
        </w:rPr>
        <w:t>E</w:t>
      </w:r>
      <w:r w:rsidRPr="00651491">
        <w:rPr>
          <w:rFonts w:cs="Arial"/>
          <w:color w:val="000000" w:themeColor="text1"/>
          <w:sz w:val="22"/>
          <w:szCs w:val="22"/>
        </w:rPr>
        <w:t xml:space="preserve">stados em que não ocorra </w:t>
      </w:r>
      <w:r w:rsidR="00005888" w:rsidRPr="00651491">
        <w:rPr>
          <w:rFonts w:cs="Arial"/>
          <w:color w:val="000000" w:themeColor="text1"/>
          <w:sz w:val="22"/>
          <w:szCs w:val="22"/>
        </w:rPr>
        <w:t xml:space="preserve">o </w:t>
      </w:r>
      <w:r w:rsidRPr="00651491">
        <w:rPr>
          <w:rFonts w:cs="Arial"/>
          <w:color w:val="000000" w:themeColor="text1"/>
          <w:sz w:val="22"/>
          <w:szCs w:val="22"/>
        </w:rPr>
        <w:t xml:space="preserve">recebimento exclusivo </w:t>
      </w:r>
      <w:r w:rsidR="00005888" w:rsidRPr="00651491">
        <w:rPr>
          <w:rFonts w:cs="Arial"/>
          <w:color w:val="000000" w:themeColor="text1"/>
          <w:sz w:val="22"/>
          <w:szCs w:val="22"/>
        </w:rPr>
        <w:t xml:space="preserve">de atos negociais </w:t>
      </w:r>
      <w:r w:rsidRPr="00651491">
        <w:rPr>
          <w:rFonts w:cs="Arial"/>
          <w:color w:val="000000" w:themeColor="text1"/>
          <w:sz w:val="22"/>
          <w:szCs w:val="22"/>
        </w:rPr>
        <w:t>pela internet</w:t>
      </w:r>
      <w:r w:rsidR="000C1EF6" w:rsidRPr="00651491">
        <w:rPr>
          <w:rFonts w:cs="Arial"/>
          <w:color w:val="000000" w:themeColor="text1"/>
          <w:sz w:val="22"/>
          <w:szCs w:val="22"/>
        </w:rPr>
        <w:t>,</w:t>
      </w:r>
      <w:r w:rsidRPr="00651491">
        <w:rPr>
          <w:rFonts w:cs="Arial"/>
          <w:color w:val="000000" w:themeColor="text1"/>
          <w:sz w:val="22"/>
          <w:szCs w:val="22"/>
        </w:rPr>
        <w:t xml:space="preserve"> os </w:t>
      </w:r>
      <w:r w:rsidR="00FF7550" w:rsidRPr="00651491">
        <w:rPr>
          <w:rFonts w:cs="Arial"/>
          <w:color w:val="000000" w:themeColor="text1"/>
          <w:sz w:val="22"/>
          <w:szCs w:val="22"/>
        </w:rPr>
        <w:t xml:space="preserve">possíveis </w:t>
      </w:r>
      <w:r w:rsidRPr="00651491">
        <w:rPr>
          <w:rFonts w:cs="Arial"/>
          <w:color w:val="000000" w:themeColor="text1"/>
          <w:sz w:val="22"/>
          <w:szCs w:val="22"/>
        </w:rPr>
        <w:t>licitantes</w:t>
      </w:r>
      <w:r w:rsidR="00FF7550" w:rsidRPr="00651491">
        <w:rPr>
          <w:rFonts w:cs="Arial"/>
          <w:color w:val="000000" w:themeColor="text1"/>
          <w:sz w:val="22"/>
          <w:szCs w:val="22"/>
        </w:rPr>
        <w:t xml:space="preserve"> lá localizados</w:t>
      </w:r>
      <w:r w:rsidRPr="00651491">
        <w:rPr>
          <w:rFonts w:cs="Arial"/>
          <w:color w:val="000000" w:themeColor="text1"/>
          <w:sz w:val="22"/>
          <w:szCs w:val="22"/>
        </w:rPr>
        <w:t xml:space="preserve"> teriam um benefício </w:t>
      </w:r>
      <w:r w:rsidR="00FF7550" w:rsidRPr="00651491">
        <w:rPr>
          <w:rFonts w:cs="Arial"/>
          <w:color w:val="000000" w:themeColor="text1"/>
          <w:sz w:val="22"/>
          <w:szCs w:val="22"/>
        </w:rPr>
        <w:t xml:space="preserve">desigual </w:t>
      </w:r>
      <w:r w:rsidRPr="00651491">
        <w:rPr>
          <w:rFonts w:cs="Arial"/>
          <w:color w:val="000000" w:themeColor="text1"/>
          <w:sz w:val="22"/>
          <w:szCs w:val="22"/>
        </w:rPr>
        <w:t>em relação aos demais</w:t>
      </w:r>
      <w:r w:rsidR="0091212A" w:rsidRPr="00651491">
        <w:rPr>
          <w:rFonts w:cs="Arial"/>
          <w:color w:val="000000" w:themeColor="text1"/>
          <w:sz w:val="22"/>
          <w:szCs w:val="22"/>
        </w:rPr>
        <w:t>, o que incorreria em possível restrição ao caráter competitivo e tratamento legal diferenciado na licitação (art. 3º, § 1º, incisos I e II, da Lei 8.666/93).</w:t>
      </w:r>
    </w:p>
    <w:p w14:paraId="5F79B27B" w14:textId="68496639" w:rsidR="00651491" w:rsidRPr="00651491" w:rsidRDefault="00256C50" w:rsidP="001F5298">
      <w:pPr>
        <w:pStyle w:val="Textodecomentrio"/>
        <w:spacing w:line="360" w:lineRule="aut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651491">
        <w:rPr>
          <w:rFonts w:cs="Arial"/>
          <w:color w:val="000000" w:themeColor="text1"/>
          <w:sz w:val="22"/>
          <w:szCs w:val="22"/>
        </w:rPr>
        <w:t>Além disso, como</w:t>
      </w:r>
      <w:r w:rsidR="00B37F06" w:rsidRPr="00651491">
        <w:rPr>
          <w:rFonts w:cs="Arial"/>
          <w:color w:val="000000" w:themeColor="text1"/>
          <w:sz w:val="22"/>
          <w:szCs w:val="22"/>
        </w:rPr>
        <w:t xml:space="preserve"> a</w:t>
      </w:r>
      <w:r w:rsidRPr="00651491">
        <w:rPr>
          <w:rFonts w:cs="Arial"/>
          <w:color w:val="000000" w:themeColor="text1"/>
          <w:sz w:val="22"/>
          <w:szCs w:val="22"/>
        </w:rPr>
        <w:t xml:space="preserve"> MP 931/2020 não traz exceções ou </w:t>
      </w:r>
      <w:r w:rsidR="00C3217A" w:rsidRPr="00651491">
        <w:rPr>
          <w:rFonts w:cs="Arial"/>
          <w:color w:val="000000" w:themeColor="text1"/>
          <w:sz w:val="22"/>
          <w:szCs w:val="22"/>
        </w:rPr>
        <w:t>ressalvas</w:t>
      </w:r>
      <w:r w:rsidRPr="00651491">
        <w:rPr>
          <w:rFonts w:cs="Arial"/>
          <w:color w:val="000000" w:themeColor="text1"/>
          <w:sz w:val="22"/>
          <w:szCs w:val="22"/>
        </w:rPr>
        <w:t xml:space="preserve"> à norma jurídica do art. 6º, inciso II</w:t>
      </w:r>
      <w:r w:rsidR="00C3217A" w:rsidRPr="00651491">
        <w:rPr>
          <w:rFonts w:cs="Arial"/>
          <w:color w:val="000000" w:themeColor="text1"/>
          <w:sz w:val="22"/>
          <w:szCs w:val="22"/>
        </w:rPr>
        <w:t xml:space="preserve">, não </w:t>
      </w:r>
      <w:r w:rsidRPr="00651491">
        <w:rPr>
          <w:rFonts w:cs="Arial"/>
          <w:color w:val="000000" w:themeColor="text1"/>
          <w:sz w:val="22"/>
          <w:szCs w:val="22"/>
        </w:rPr>
        <w:t xml:space="preserve">cabe </w:t>
      </w:r>
      <w:r w:rsidR="00C3217A" w:rsidRPr="00651491">
        <w:rPr>
          <w:rFonts w:cs="Arial"/>
          <w:color w:val="000000" w:themeColor="text1"/>
          <w:sz w:val="22"/>
          <w:szCs w:val="22"/>
        </w:rPr>
        <w:t>interpret</w:t>
      </w:r>
      <w:r w:rsidRPr="00651491">
        <w:rPr>
          <w:rFonts w:cs="Arial"/>
          <w:color w:val="000000" w:themeColor="text1"/>
          <w:sz w:val="22"/>
          <w:szCs w:val="22"/>
        </w:rPr>
        <w:t>ar</w:t>
      </w:r>
      <w:r w:rsidR="00C3217A" w:rsidRPr="00651491">
        <w:rPr>
          <w:rFonts w:cs="Arial"/>
          <w:color w:val="000000" w:themeColor="text1"/>
          <w:sz w:val="22"/>
          <w:szCs w:val="22"/>
        </w:rPr>
        <w:t xml:space="preserve"> esse benefício de forma restritiva.</w:t>
      </w:r>
    </w:p>
    <w:p w14:paraId="1B88A87D" w14:textId="29D17C27" w:rsidR="008559C0" w:rsidRPr="00651491" w:rsidRDefault="00B44B07" w:rsidP="00413107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Nesse sentido, </w:t>
      </w:r>
      <w:r w:rsidR="00E84D36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apesar de a </w:t>
      </w:r>
      <w:proofErr w:type="spellStart"/>
      <w:r w:rsidR="00E84D36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Jucemat</w:t>
      </w:r>
      <w:proofErr w:type="spellEnd"/>
      <w:r w:rsidR="00E84D36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receber atos negociais por meio digital eletrônico,</w:t>
      </w:r>
      <w:r w:rsidR="00B92055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84D36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considerando o atual cenário excepcional e que a regra de flexibilização temporária trazida pela MP 931/2020 (art. 6º, II) não possui exceção,</w:t>
      </w:r>
      <w:r w:rsidR="00C03AA1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a administração pública, por ocasião da qualificação econômico-financeira em licitações, deve receber </w:t>
      </w:r>
      <w:r w:rsidR="007E25B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como válidos </w:t>
      </w:r>
      <w:r w:rsidR="00C03AA1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os balanços patrimoniais e demonstrações contábeis</w:t>
      </w:r>
      <w:r w:rsidR="007E25B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, ainda que sem arquivamento prévio na </w:t>
      </w:r>
      <w:proofErr w:type="spellStart"/>
      <w:r w:rsidR="007E25B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Jucemat</w:t>
      </w:r>
      <w:proofErr w:type="spellEnd"/>
      <w:r w:rsidR="007E25B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ou em junta</w:t>
      </w:r>
      <w:r w:rsidR="008A0C75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s</w:t>
      </w:r>
      <w:r w:rsidR="007E25B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comercia</w:t>
      </w:r>
      <w:r w:rsidR="008A0C75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is</w:t>
      </w:r>
      <w:r w:rsidR="007E25B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de outros Estados</w:t>
      </w:r>
      <w:r w:rsidR="00B92055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, conforme o caso</w:t>
      </w:r>
      <w:r w:rsidR="00E26FA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de localização da empresa licitante.</w:t>
      </w:r>
    </w:p>
    <w:p w14:paraId="74ED1CE2" w14:textId="235B5CD8" w:rsidR="0049249A" w:rsidRPr="00651491" w:rsidRDefault="00AF24FB" w:rsidP="0049249A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Recebidos e</w:t>
      </w:r>
      <w:r w:rsidR="004868F5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sse</w:t>
      </w:r>
      <w:r w:rsidR="0042562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s documentos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, a administração determinará que </w:t>
      </w:r>
      <w:r w:rsidR="0042562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a empresa </w:t>
      </w:r>
      <w:r w:rsidR="0042562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apresente a documentação corrigida (autenticada na </w:t>
      </w:r>
      <w:proofErr w:type="spellStart"/>
      <w:r w:rsidR="0042562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Jucemat</w:t>
      </w:r>
      <w:proofErr w:type="spellEnd"/>
      <w:r w:rsidR="0042562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)</w:t>
      </w:r>
      <w:r w:rsidR="004918BF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4918BF" w:rsidRPr="00651491">
        <w:rPr>
          <w:rFonts w:asciiTheme="minorHAnsi" w:hAnsiTheme="minorHAnsi" w:cs="Arial"/>
          <w:color w:val="000000"/>
          <w:sz w:val="22"/>
          <w:szCs w:val="22"/>
        </w:rPr>
        <w:t xml:space="preserve">de acordo com </w:t>
      </w:r>
      <w:r w:rsidR="007C471E" w:rsidRPr="00651491">
        <w:rPr>
          <w:rFonts w:asciiTheme="minorHAnsi" w:hAnsiTheme="minorHAnsi" w:cs="Arial"/>
          <w:color w:val="000000"/>
          <w:sz w:val="22"/>
          <w:szCs w:val="22"/>
        </w:rPr>
        <w:t>o</w:t>
      </w:r>
      <w:r w:rsidR="004918BF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9404CF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prazo </w:t>
      </w:r>
      <w:r w:rsidR="004918BF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estabelecido</w:t>
      </w:r>
      <w:r w:rsidR="009404CF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no art. 6º, inciso II, da MP 931/2020</w:t>
      </w:r>
      <w:r w:rsidR="0049249A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, ou seja, </w:t>
      </w:r>
      <w:r w:rsidR="0049249A" w:rsidRPr="00651491">
        <w:rPr>
          <w:rFonts w:asciiTheme="minorHAnsi" w:hAnsiTheme="minorHAnsi" w:cs="Arial"/>
          <w:color w:val="000000"/>
          <w:sz w:val="22"/>
          <w:szCs w:val="22"/>
          <w:u w:val="single"/>
          <w:bdr w:val="none" w:sz="0" w:space="0" w:color="auto" w:frame="1"/>
        </w:rPr>
        <w:t>até trinta dias depois que a junta comercial restabelecer a prestação regular dos seus serviços</w:t>
      </w:r>
      <w:r w:rsidR="0049249A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.</w:t>
      </w:r>
    </w:p>
    <w:p w14:paraId="701C8DA6" w14:textId="356EC03B" w:rsidR="00C93576" w:rsidRPr="00651491" w:rsidRDefault="00B022C4" w:rsidP="009A15B4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N</w:t>
      </w:r>
      <w:r w:rsidR="0049249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o caso das “empresas” licitantes que em decorrência de sua localização tenham a obrigação legal de arquivar atos jurídicos na </w:t>
      </w:r>
      <w:proofErr w:type="spellStart"/>
      <w:r w:rsidR="0049249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Jucemat</w:t>
      </w:r>
      <w:proofErr w:type="spellEnd"/>
      <w:r w:rsidR="0049249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a administração </w:t>
      </w:r>
      <w:r w:rsidR="00C93576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deve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orientá-las </w:t>
      </w:r>
      <w:r w:rsidR="0049249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a realizar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em</w:t>
      </w:r>
      <w:r w:rsidR="0049249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o registro </w:t>
      </w:r>
      <w:r w:rsidR="005F546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por meio eletrônico </w:t>
      </w:r>
      <w:r w:rsidR="0049249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conforme disciplina</w:t>
      </w:r>
      <w:r w:rsidR="005F546A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da </w:t>
      </w:r>
      <w:r w:rsidR="0049249A" w:rsidRPr="00651491">
        <w:rPr>
          <w:rFonts w:asciiTheme="minorHAnsi" w:hAnsiTheme="minorHAnsi" w:cs="Arial"/>
          <w:color w:val="000000"/>
          <w:sz w:val="22"/>
          <w:szCs w:val="22"/>
        </w:rPr>
        <w:t>Resolução Plenária nº 003/2018</w:t>
      </w:r>
      <w:r w:rsidR="00C93576" w:rsidRPr="00651491">
        <w:rPr>
          <w:rFonts w:asciiTheme="minorHAnsi" w:hAnsiTheme="minorHAnsi" w:cs="Arial"/>
          <w:color w:val="000000"/>
          <w:sz w:val="22"/>
          <w:szCs w:val="22"/>
        </w:rPr>
        <w:t xml:space="preserve"> do órgão mato-grossense</w:t>
      </w:r>
      <w:r w:rsidR="005F546A" w:rsidRPr="00651491">
        <w:rPr>
          <w:rFonts w:asciiTheme="minorHAnsi" w:hAnsiTheme="minorHAnsi" w:cs="Arial"/>
          <w:color w:val="000000"/>
          <w:sz w:val="22"/>
          <w:szCs w:val="22"/>
        </w:rPr>
        <w:t>,</w:t>
      </w:r>
      <w:r w:rsidR="00755BB2" w:rsidRPr="00651491">
        <w:rPr>
          <w:rFonts w:asciiTheme="minorHAnsi" w:hAnsiTheme="minorHAnsi" w:cs="Arial"/>
          <w:color w:val="000000"/>
          <w:sz w:val="22"/>
          <w:szCs w:val="22"/>
        </w:rPr>
        <w:t xml:space="preserve"> porém, desde que respeitado</w:t>
      </w:r>
      <w:r w:rsidR="005F546A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55BB2" w:rsidRPr="00651491">
        <w:rPr>
          <w:rFonts w:asciiTheme="minorHAnsi" w:hAnsiTheme="minorHAnsi" w:cs="Arial"/>
          <w:color w:val="000000"/>
          <w:sz w:val="22"/>
          <w:szCs w:val="22"/>
        </w:rPr>
        <w:t xml:space="preserve">o prazo </w:t>
      </w:r>
      <w:r w:rsidR="002041F6" w:rsidRPr="00651491">
        <w:rPr>
          <w:rFonts w:asciiTheme="minorHAnsi" w:hAnsiTheme="minorHAnsi" w:cs="Arial"/>
          <w:color w:val="000000"/>
          <w:sz w:val="22"/>
          <w:szCs w:val="22"/>
        </w:rPr>
        <w:t xml:space="preserve">excepcional </w:t>
      </w:r>
      <w:r w:rsidR="00755BB2" w:rsidRPr="00651491">
        <w:rPr>
          <w:rFonts w:asciiTheme="minorHAnsi" w:hAnsiTheme="minorHAnsi" w:cs="Arial"/>
          <w:color w:val="000000"/>
          <w:sz w:val="22"/>
          <w:szCs w:val="22"/>
        </w:rPr>
        <w:t xml:space="preserve">de apresentação desses documentos </w:t>
      </w:r>
      <w:r w:rsidR="002041F6" w:rsidRPr="00651491">
        <w:rPr>
          <w:rFonts w:asciiTheme="minorHAnsi" w:hAnsiTheme="minorHAnsi" w:cs="Arial"/>
          <w:color w:val="000000"/>
          <w:sz w:val="22"/>
          <w:szCs w:val="22"/>
        </w:rPr>
        <w:t>estabelecido pela</w:t>
      </w:r>
      <w:r w:rsidR="00755BB2" w:rsidRPr="00651491">
        <w:rPr>
          <w:rFonts w:asciiTheme="minorHAnsi" w:hAnsiTheme="minorHAnsi" w:cs="Arial"/>
          <w:color w:val="000000"/>
          <w:sz w:val="22"/>
          <w:szCs w:val="22"/>
        </w:rPr>
        <w:t xml:space="preserve"> MP 931/2020.</w:t>
      </w:r>
    </w:p>
    <w:p w14:paraId="059450CD" w14:textId="77777777" w:rsidR="00DA7833" w:rsidRDefault="00DA7833" w:rsidP="009A15B4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EC6D30" w14:textId="77777777" w:rsidR="00DA7833" w:rsidRDefault="00DA7833" w:rsidP="00DA7833">
      <w:pPr>
        <w:pStyle w:val="textbody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625D3C2" w14:textId="563B9574" w:rsidR="00317D4A" w:rsidRPr="00651491" w:rsidRDefault="009A3A6F" w:rsidP="009A15B4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Respeitada </w:t>
      </w:r>
      <w:r w:rsidR="00317D4A" w:rsidRPr="00651491">
        <w:rPr>
          <w:rFonts w:asciiTheme="minorHAnsi" w:hAnsiTheme="minorHAnsi" w:cs="Arial"/>
          <w:color w:val="000000"/>
          <w:sz w:val="22"/>
          <w:szCs w:val="22"/>
        </w:rPr>
        <w:t xml:space="preserve">a flexibilização excepcional </w:t>
      </w:r>
      <w:r w:rsidR="00E014A4" w:rsidRPr="00651491">
        <w:rPr>
          <w:rFonts w:asciiTheme="minorHAnsi" w:hAnsiTheme="minorHAnsi" w:cs="Arial"/>
          <w:color w:val="000000"/>
          <w:sz w:val="22"/>
          <w:szCs w:val="22"/>
        </w:rPr>
        <w:t xml:space="preserve">ou adiamento </w:t>
      </w:r>
      <w:r w:rsidR="00317D4A" w:rsidRPr="00651491">
        <w:rPr>
          <w:rFonts w:asciiTheme="minorHAnsi" w:hAnsiTheme="minorHAnsi" w:cs="Arial"/>
          <w:color w:val="000000"/>
          <w:sz w:val="22"/>
          <w:szCs w:val="22"/>
        </w:rPr>
        <w:t>de prazo trazid</w:t>
      </w:r>
      <w:r w:rsidR="00E014A4" w:rsidRPr="00651491">
        <w:rPr>
          <w:rFonts w:asciiTheme="minorHAnsi" w:hAnsiTheme="minorHAnsi" w:cs="Arial"/>
          <w:color w:val="000000"/>
          <w:sz w:val="22"/>
          <w:szCs w:val="22"/>
        </w:rPr>
        <w:t>o</w:t>
      </w:r>
      <w:r w:rsidR="00317D4A" w:rsidRPr="00651491">
        <w:rPr>
          <w:rFonts w:asciiTheme="minorHAnsi" w:hAnsiTheme="minorHAnsi" w:cs="Arial"/>
          <w:color w:val="000000"/>
          <w:sz w:val="22"/>
          <w:szCs w:val="22"/>
        </w:rPr>
        <w:t xml:space="preserve"> pela norma jurídica da MP 931/2020</w:t>
      </w:r>
      <w:r w:rsidR="00155D06" w:rsidRPr="0065149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201363" w:rsidRPr="00651491">
        <w:rPr>
          <w:rFonts w:asciiTheme="minorHAnsi" w:hAnsiTheme="minorHAnsi" w:cs="Arial"/>
          <w:color w:val="000000"/>
          <w:sz w:val="22"/>
          <w:szCs w:val="22"/>
        </w:rPr>
        <w:t xml:space="preserve">que </w:t>
      </w:r>
      <w:r w:rsidR="00155D06" w:rsidRPr="00651491">
        <w:rPr>
          <w:rFonts w:asciiTheme="minorHAnsi" w:hAnsiTheme="minorHAnsi" w:cs="Arial"/>
          <w:color w:val="000000"/>
          <w:sz w:val="22"/>
          <w:szCs w:val="22"/>
        </w:rPr>
        <w:t xml:space="preserve">proporciona </w:t>
      </w:r>
      <w:r w:rsidR="00E014A4" w:rsidRPr="00651491">
        <w:rPr>
          <w:rFonts w:asciiTheme="minorHAnsi" w:hAnsiTheme="minorHAnsi" w:cs="Arial"/>
          <w:color w:val="000000"/>
          <w:sz w:val="22"/>
          <w:szCs w:val="22"/>
        </w:rPr>
        <w:t xml:space="preserve">temporariamente </w:t>
      </w:r>
      <w:r w:rsidR="00155D06" w:rsidRPr="00651491">
        <w:rPr>
          <w:rFonts w:asciiTheme="minorHAnsi" w:hAnsiTheme="minorHAnsi" w:cs="Arial"/>
          <w:color w:val="000000"/>
          <w:sz w:val="22"/>
          <w:szCs w:val="22"/>
        </w:rPr>
        <w:t xml:space="preserve">a apresentação de documentos </w:t>
      </w:r>
      <w:r w:rsidR="00BC12EC" w:rsidRPr="00651491">
        <w:rPr>
          <w:rFonts w:asciiTheme="minorHAnsi" w:hAnsiTheme="minorHAnsi" w:cs="Arial"/>
          <w:color w:val="000000"/>
          <w:sz w:val="22"/>
          <w:szCs w:val="22"/>
        </w:rPr>
        <w:t xml:space="preserve">sem </w:t>
      </w:r>
      <w:r w:rsidR="00317D4A" w:rsidRPr="00651491">
        <w:rPr>
          <w:rFonts w:asciiTheme="minorHAnsi" w:hAnsiTheme="minorHAnsi" w:cs="Arial"/>
          <w:color w:val="000000"/>
          <w:sz w:val="22"/>
          <w:szCs w:val="22"/>
        </w:rPr>
        <w:t>arquivamento prévio nas juntas comerciais, a administração</w:t>
      </w:r>
      <w:r w:rsidR="00051848" w:rsidRPr="00651491">
        <w:rPr>
          <w:rFonts w:asciiTheme="minorHAnsi" w:hAnsiTheme="minorHAnsi" w:cs="Arial"/>
          <w:color w:val="000000"/>
          <w:sz w:val="22"/>
          <w:szCs w:val="22"/>
        </w:rPr>
        <w:t xml:space="preserve">, quanto à qualificação econômico-financeira nas licitações, </w:t>
      </w:r>
      <w:r w:rsidR="00317D4A" w:rsidRPr="00651491">
        <w:rPr>
          <w:rFonts w:asciiTheme="minorHAnsi" w:hAnsiTheme="minorHAnsi" w:cs="Arial"/>
          <w:color w:val="000000"/>
          <w:sz w:val="22"/>
          <w:szCs w:val="22"/>
        </w:rPr>
        <w:t xml:space="preserve">deve estar atenta e se resguardar </w:t>
      </w:r>
      <w:r w:rsidR="00051848" w:rsidRPr="00651491">
        <w:rPr>
          <w:rFonts w:asciiTheme="minorHAnsi" w:hAnsiTheme="minorHAnsi" w:cs="Arial"/>
          <w:color w:val="000000"/>
          <w:sz w:val="22"/>
          <w:szCs w:val="22"/>
        </w:rPr>
        <w:t xml:space="preserve">em relação </w:t>
      </w:r>
      <w:r w:rsidR="00BB7344" w:rsidRPr="00651491">
        <w:rPr>
          <w:rFonts w:asciiTheme="minorHAnsi" w:hAnsiTheme="minorHAnsi" w:cs="Arial"/>
          <w:color w:val="000000"/>
          <w:sz w:val="22"/>
          <w:szCs w:val="22"/>
        </w:rPr>
        <w:t>a</w:t>
      </w:r>
      <w:r w:rsidR="00DC7177" w:rsidRPr="00651491">
        <w:rPr>
          <w:rFonts w:asciiTheme="minorHAnsi" w:hAnsiTheme="minorHAnsi" w:cs="Arial"/>
          <w:color w:val="000000"/>
          <w:sz w:val="22"/>
          <w:szCs w:val="22"/>
        </w:rPr>
        <w:t xml:space="preserve"> outras situações que possam </w:t>
      </w:r>
      <w:r w:rsidR="00BB7344" w:rsidRPr="00651491">
        <w:rPr>
          <w:rFonts w:asciiTheme="minorHAnsi" w:hAnsiTheme="minorHAnsi" w:cs="Arial"/>
          <w:color w:val="000000"/>
          <w:sz w:val="22"/>
          <w:szCs w:val="22"/>
        </w:rPr>
        <w:t>desvirtua</w:t>
      </w:r>
      <w:r w:rsidR="00DC7177" w:rsidRPr="00651491">
        <w:rPr>
          <w:rFonts w:asciiTheme="minorHAnsi" w:hAnsiTheme="minorHAnsi" w:cs="Arial"/>
          <w:color w:val="000000"/>
          <w:sz w:val="22"/>
          <w:szCs w:val="22"/>
        </w:rPr>
        <w:t xml:space="preserve">r </w:t>
      </w:r>
      <w:r w:rsidR="00BB7344" w:rsidRPr="00651491">
        <w:rPr>
          <w:rFonts w:asciiTheme="minorHAnsi" w:hAnsiTheme="minorHAnsi" w:cs="Arial"/>
          <w:color w:val="000000"/>
          <w:sz w:val="22"/>
          <w:szCs w:val="22"/>
        </w:rPr>
        <w:t>a lei nos aspectos de habilitação licitatória.</w:t>
      </w:r>
    </w:p>
    <w:p w14:paraId="0B4F9FF2" w14:textId="76D723F5" w:rsidR="00E72E45" w:rsidRPr="00651491" w:rsidRDefault="00EE1318" w:rsidP="00684ED1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Nesse sentido, </w:t>
      </w:r>
      <w:r w:rsidR="00A5761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cabe</w:t>
      </w:r>
      <w:r w:rsidR="00F851A5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ressaltar a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B03A1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importância da qualificação econômico-financeira nas licitações</w:t>
      </w:r>
      <w:r w:rsidR="00CA1F6D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, pois, n</w:t>
      </w:r>
      <w:r w:rsidR="00CA1F6D" w:rsidRPr="00651491">
        <w:rPr>
          <w:rFonts w:asciiTheme="minorHAnsi" w:hAnsiTheme="minorHAnsi" w:cs="Arial"/>
          <w:color w:val="000000" w:themeColor="text1"/>
          <w:sz w:val="22"/>
          <w:szCs w:val="22"/>
        </w:rPr>
        <w:t>o exame d</w:t>
      </w:r>
      <w:r w:rsidR="009A15B4" w:rsidRPr="00651491">
        <w:rPr>
          <w:rFonts w:asciiTheme="minorHAnsi" w:hAnsiTheme="minorHAnsi" w:cs="Arial"/>
          <w:color w:val="000000" w:themeColor="text1"/>
          <w:sz w:val="22"/>
          <w:szCs w:val="22"/>
        </w:rPr>
        <w:t>os</w:t>
      </w:r>
      <w:r w:rsidR="00CA1F6D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356153" w:rsidRPr="00651491">
        <w:rPr>
          <w:rFonts w:asciiTheme="minorHAnsi" w:hAnsiTheme="minorHAnsi" w:cs="Arial"/>
          <w:color w:val="000000" w:themeColor="text1"/>
          <w:sz w:val="22"/>
          <w:szCs w:val="22"/>
        </w:rPr>
        <w:t>respectiv</w:t>
      </w:r>
      <w:r w:rsidR="009A15B4" w:rsidRPr="00651491">
        <w:rPr>
          <w:rFonts w:asciiTheme="minorHAnsi" w:hAnsiTheme="minorHAnsi" w:cs="Arial"/>
          <w:color w:val="000000" w:themeColor="text1"/>
          <w:sz w:val="22"/>
          <w:szCs w:val="22"/>
        </w:rPr>
        <w:t>os</w:t>
      </w:r>
      <w:r w:rsidR="00356153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A1F6D" w:rsidRPr="00651491">
        <w:rPr>
          <w:rFonts w:asciiTheme="minorHAnsi" w:hAnsiTheme="minorHAnsi" w:cs="Arial"/>
          <w:color w:val="000000" w:themeColor="text1"/>
          <w:sz w:val="22"/>
          <w:szCs w:val="22"/>
        </w:rPr>
        <w:t>document</w:t>
      </w:r>
      <w:r w:rsidR="009A15B4" w:rsidRPr="00651491">
        <w:rPr>
          <w:rFonts w:asciiTheme="minorHAnsi" w:hAnsiTheme="minorHAnsi" w:cs="Arial"/>
          <w:color w:val="000000" w:themeColor="text1"/>
          <w:sz w:val="22"/>
          <w:szCs w:val="22"/>
        </w:rPr>
        <w:t>os</w:t>
      </w:r>
      <w:r w:rsidR="00CA1F6D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deve ser observada a boa situação financeira do licitante para execução do objeto do certame.</w:t>
      </w:r>
    </w:p>
    <w:p w14:paraId="667FD071" w14:textId="0E5F6CB1" w:rsidR="0046369F" w:rsidRPr="00651491" w:rsidRDefault="00135702" w:rsidP="00E72E45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Conforme </w:t>
      </w:r>
      <w:r w:rsidR="00F75A7C" w:rsidRPr="00651491">
        <w:rPr>
          <w:rFonts w:asciiTheme="minorHAnsi" w:hAnsiTheme="minorHAnsi" w:cs="Arial"/>
          <w:color w:val="000000" w:themeColor="text1"/>
          <w:sz w:val="22"/>
          <w:szCs w:val="22"/>
        </w:rPr>
        <w:t>jurisprudência do TCU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E54332" w:rsidRPr="00651491">
        <w:rPr>
          <w:rFonts w:asciiTheme="minorHAnsi" w:hAnsiTheme="minorHAnsi" w:cs="Arial"/>
          <w:color w:val="000000" w:themeColor="text1"/>
          <w:sz w:val="22"/>
          <w:szCs w:val="22"/>
        </w:rPr>
        <w:t>as exigências de habilitação são indispensáveis à garantia do cumprimento das obrigações (Acórdão 112/2007-Plenário)</w:t>
      </w:r>
      <w:r w:rsidR="00BF1849"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</w:rPr>
        <w:t xml:space="preserve">e </w:t>
      </w:r>
      <w:r w:rsidR="00E72E45" w:rsidRPr="00651491">
        <w:rPr>
          <w:rFonts w:asciiTheme="minorHAnsi" w:hAnsiTheme="minorHAnsi" w:cs="Arial"/>
          <w:sz w:val="22"/>
          <w:szCs w:val="22"/>
        </w:rPr>
        <w:t>o estabelecimento de requisitos para aferição da qualificação econômico-financeira das licitantes visa a assegurar que a empresa a ser contratada ao fim do procedimento licitatório disponha de recursos suficientes para a satisfatória execução do objeto contratado, trazendo, por consequência, maior segurança à Administração (Acórdão 296/2008-Plenário)</w:t>
      </w:r>
      <w:r w:rsidRPr="00651491">
        <w:rPr>
          <w:rFonts w:asciiTheme="minorHAnsi" w:hAnsiTheme="minorHAnsi" w:cs="Arial"/>
          <w:sz w:val="22"/>
          <w:szCs w:val="22"/>
        </w:rPr>
        <w:t>.</w:t>
      </w:r>
    </w:p>
    <w:p w14:paraId="5EB37433" w14:textId="414F4758" w:rsidR="00ED7F33" w:rsidRPr="00651491" w:rsidRDefault="00B74488" w:rsidP="00874E69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651491">
        <w:rPr>
          <w:rFonts w:asciiTheme="minorHAnsi" w:hAnsiTheme="minorHAnsi" w:cs="Arial"/>
          <w:sz w:val="22"/>
          <w:szCs w:val="22"/>
        </w:rPr>
        <w:t>Tratando-se de sociedade que iniciou as atividades no exercício social em que se realizar a licitação ou que foi constituída há menos de um ano, é possível</w:t>
      </w:r>
      <w:r w:rsidR="00771FA1" w:rsidRPr="00651491">
        <w:rPr>
          <w:rFonts w:asciiTheme="minorHAnsi" w:hAnsiTheme="minorHAnsi" w:cs="Arial"/>
          <w:sz w:val="22"/>
          <w:szCs w:val="22"/>
        </w:rPr>
        <w:t xml:space="preserve"> </w:t>
      </w:r>
      <w:r w:rsidRPr="00651491">
        <w:rPr>
          <w:rFonts w:asciiTheme="minorHAnsi" w:hAnsiTheme="minorHAnsi" w:cs="Arial"/>
          <w:sz w:val="22"/>
          <w:szCs w:val="22"/>
        </w:rPr>
        <w:t>demonstrar a idoneidade financeira por outros documentos</w:t>
      </w:r>
      <w:r w:rsidR="0014188A" w:rsidRPr="00651491">
        <w:rPr>
          <w:rFonts w:asciiTheme="minorHAnsi" w:hAnsiTheme="minorHAnsi" w:cs="Arial"/>
          <w:sz w:val="22"/>
          <w:szCs w:val="22"/>
        </w:rPr>
        <w:t>,</w:t>
      </w:r>
      <w:r w:rsidRPr="00651491">
        <w:rPr>
          <w:rFonts w:asciiTheme="minorHAnsi" w:hAnsiTheme="minorHAnsi" w:cs="Arial"/>
          <w:sz w:val="22"/>
          <w:szCs w:val="22"/>
        </w:rPr>
        <w:t xml:space="preserve"> a exemplo do balanço de abertura.</w:t>
      </w:r>
      <w:r w:rsidRPr="00651491">
        <w:rPr>
          <w:rStyle w:val="Refdenotaderodap"/>
          <w:rFonts w:asciiTheme="minorHAnsi" w:hAnsiTheme="minorHAnsi" w:cs="Arial"/>
          <w:sz w:val="22"/>
          <w:szCs w:val="22"/>
        </w:rPr>
        <w:footnoteReference w:id="6"/>
      </w:r>
    </w:p>
    <w:p w14:paraId="445A3481" w14:textId="26624750" w:rsidR="00226F0E" w:rsidRDefault="0016350F" w:rsidP="000218C2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651491">
        <w:rPr>
          <w:rFonts w:asciiTheme="minorHAnsi" w:hAnsiTheme="minorHAnsi" w:cs="Arial"/>
          <w:sz w:val="22"/>
          <w:szCs w:val="22"/>
        </w:rPr>
        <w:t>A</w:t>
      </w:r>
      <w:r w:rsidR="0060659C" w:rsidRPr="00651491">
        <w:rPr>
          <w:rFonts w:asciiTheme="minorHAnsi" w:hAnsiTheme="minorHAnsi" w:cs="Arial"/>
          <w:sz w:val="22"/>
          <w:szCs w:val="22"/>
        </w:rPr>
        <w:t xml:space="preserve">demais, </w:t>
      </w:r>
      <w:r w:rsidRPr="00651491">
        <w:rPr>
          <w:rFonts w:asciiTheme="minorHAnsi" w:hAnsiTheme="minorHAnsi" w:cs="Arial"/>
          <w:sz w:val="22"/>
          <w:szCs w:val="22"/>
        </w:rPr>
        <w:t xml:space="preserve">conforme entendimento do TCU, não há vedação legal à apresentação de balanços intermediários para fins de qualificação econômico-financeira em licitação, desde que se comprove que o estatuto social da empresa autoriza sua emissão, não se confundindo balanço intermediário com balancete ou balanço provisório, pois </w:t>
      </w:r>
      <w:r w:rsidR="005E3597" w:rsidRPr="00651491">
        <w:rPr>
          <w:rFonts w:asciiTheme="minorHAnsi" w:hAnsiTheme="minorHAnsi" w:cs="Arial"/>
          <w:sz w:val="22"/>
          <w:szCs w:val="22"/>
        </w:rPr>
        <w:t>aquele é</w:t>
      </w:r>
      <w:r w:rsidRPr="00651491">
        <w:rPr>
          <w:rFonts w:asciiTheme="minorHAnsi" w:hAnsiTheme="minorHAnsi" w:cs="Arial"/>
          <w:sz w:val="22"/>
          <w:szCs w:val="22"/>
        </w:rPr>
        <w:t xml:space="preserve"> um documento definitivo, cujo conteúdo retra</w:t>
      </w:r>
      <w:r w:rsidR="005E3597" w:rsidRPr="00651491">
        <w:rPr>
          <w:rFonts w:asciiTheme="minorHAnsi" w:hAnsiTheme="minorHAnsi" w:cs="Arial"/>
          <w:sz w:val="22"/>
          <w:szCs w:val="22"/>
        </w:rPr>
        <w:t>ta</w:t>
      </w:r>
      <w:r w:rsidRPr="00651491">
        <w:rPr>
          <w:rFonts w:asciiTheme="minorHAnsi" w:hAnsiTheme="minorHAnsi" w:cs="Arial"/>
          <w:sz w:val="22"/>
          <w:szCs w:val="22"/>
        </w:rPr>
        <w:t>rá a situação econômico-financeira da sociedade empresária no curso do exercício (Acórdão 2.994/2016-Plenário).</w:t>
      </w:r>
    </w:p>
    <w:p w14:paraId="6D901347" w14:textId="370541C9" w:rsidR="00DA7833" w:rsidRDefault="00DA7833" w:rsidP="001F5298">
      <w:pPr>
        <w:pStyle w:val="textbody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14:paraId="7C9C22B4" w14:textId="4AD2E44D" w:rsidR="00963481" w:rsidRPr="00651491" w:rsidRDefault="00963481" w:rsidP="00651491">
      <w:pPr>
        <w:shd w:val="clear" w:color="auto" w:fill="D0CECE" w:themeFill="background2" w:themeFillShade="E6"/>
        <w:spacing w:after="0" w:line="360" w:lineRule="auto"/>
        <w:jc w:val="both"/>
        <w:rPr>
          <w:rFonts w:eastAsia="Times New Roman" w:cs="Arial"/>
          <w:b/>
          <w:bCs/>
          <w:color w:val="000000" w:themeColor="text1"/>
          <w:lang w:eastAsia="pt-BR"/>
        </w:rPr>
      </w:pPr>
      <w:r w:rsidRPr="00651491">
        <w:rPr>
          <w:rFonts w:eastAsia="Times New Roman" w:cs="Arial"/>
          <w:b/>
          <w:bCs/>
          <w:color w:val="000000" w:themeColor="text1"/>
          <w:lang w:eastAsia="pt-BR"/>
        </w:rPr>
        <w:t>Conclusão:</w:t>
      </w:r>
    </w:p>
    <w:p w14:paraId="44174501" w14:textId="39F9178F" w:rsidR="00963481" w:rsidRPr="00651491" w:rsidRDefault="00963481" w:rsidP="00651491">
      <w:pPr>
        <w:pStyle w:val="textbody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7C55EAEF" w14:textId="60090E37" w:rsidR="00A01580" w:rsidRPr="00651491" w:rsidRDefault="00E01CC2" w:rsidP="00A01580">
      <w:pPr>
        <w:pStyle w:val="textbody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</w:rPr>
        <w:t>Co</w:t>
      </w:r>
      <w:r w:rsidR="00EB5439" w:rsidRPr="00651491">
        <w:rPr>
          <w:rFonts w:asciiTheme="minorHAnsi" w:hAnsiTheme="minorHAnsi" w:cs="Arial"/>
          <w:color w:val="000000" w:themeColor="text1"/>
          <w:sz w:val="22"/>
          <w:szCs w:val="22"/>
        </w:rPr>
        <w:t>m base no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</w:rPr>
        <w:t>s fundamentos apresentados, conclui-se</w:t>
      </w:r>
      <w:r w:rsidR="00A01580" w:rsidRPr="00651491">
        <w:rPr>
          <w:rFonts w:asciiTheme="minorHAnsi" w:hAnsiTheme="minorHAnsi" w:cs="Arial"/>
          <w:color w:val="000000" w:themeColor="text1"/>
          <w:sz w:val="22"/>
          <w:szCs w:val="22"/>
        </w:rPr>
        <w:t>:</w:t>
      </w:r>
    </w:p>
    <w:p w14:paraId="480E3C22" w14:textId="38AE47EB" w:rsidR="00FC14AB" w:rsidRPr="00FC14AB" w:rsidRDefault="00FC14AB" w:rsidP="00651491">
      <w:pPr>
        <w:pStyle w:val="textbody"/>
        <w:numPr>
          <w:ilvl w:val="0"/>
          <w:numId w:val="34"/>
        </w:numPr>
        <w:spacing w:before="0" w:beforeAutospacing="0" w:after="120" w:afterAutospacing="0" w:line="360" w:lineRule="auto"/>
        <w:ind w:left="1276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C14AB">
        <w:rPr>
          <w:rFonts w:asciiTheme="minorHAnsi" w:hAnsiTheme="minorHAnsi" w:cstheme="minorHAnsi"/>
          <w:sz w:val="22"/>
          <w:szCs w:val="22"/>
        </w:rPr>
        <w:t xml:space="preserve">A norma jurídica do art. 6º, inciso II, da MP 931/2020 estabeleceu um benefício de prazo excepcional para o arquivamento prévio de atos negociais empresariais nas juntas comerciais, levando em consideração o atual cenário de pandemia da </w:t>
      </w:r>
      <w:r w:rsidRPr="00FC14AB">
        <w:rPr>
          <w:rFonts w:asciiTheme="minorHAnsi" w:hAnsiTheme="minorHAnsi" w:cstheme="minorHAnsi"/>
          <w:sz w:val="22"/>
          <w:szCs w:val="22"/>
        </w:rPr>
        <w:lastRenderedPageBreak/>
        <w:t xml:space="preserve">Covid-19. O fato de a </w:t>
      </w:r>
      <w:proofErr w:type="spellStart"/>
      <w:r w:rsidRPr="00FC14AB">
        <w:rPr>
          <w:rFonts w:asciiTheme="minorHAnsi" w:hAnsiTheme="minorHAnsi" w:cstheme="minorHAnsi"/>
          <w:sz w:val="22"/>
          <w:szCs w:val="22"/>
        </w:rPr>
        <w:t>Jucemat</w:t>
      </w:r>
      <w:proofErr w:type="spellEnd"/>
      <w:r w:rsidRPr="00FC14AB">
        <w:rPr>
          <w:rFonts w:asciiTheme="minorHAnsi" w:hAnsiTheme="minorHAnsi" w:cstheme="minorHAnsi"/>
          <w:sz w:val="22"/>
          <w:szCs w:val="22"/>
        </w:rPr>
        <w:t xml:space="preserve"> – ou até mesmo outras juntas comerciais do país – receber atos empresariais exclusivamente por meio eletrônico digital não prejudica a eficácia de tal norma jurídica, pois a MP 931/2020 não traz exceções ou ressalvas a essa regra excepcional, não cabendo interpretá-la de forma restritiva. Se assim fosse, os possíveis licitantes localizados nos Estados em que não ocorra o recebimento exclusivo de atos negociais pela internet teriam um benefício desigual em relação aos demais, o que incorreria em possível restrição ao caráter competitivo e tratamento legal diferenciado na licitação (art. 3º, § 1º, incisos I e II, da Lei 8.666/93).</w:t>
      </w:r>
    </w:p>
    <w:p w14:paraId="16097D97" w14:textId="18491DF0" w:rsidR="00F27EB2" w:rsidRPr="00651491" w:rsidRDefault="003A387F" w:rsidP="00651491">
      <w:pPr>
        <w:pStyle w:val="textbody"/>
        <w:numPr>
          <w:ilvl w:val="0"/>
          <w:numId w:val="34"/>
        </w:numPr>
        <w:spacing w:before="0" w:beforeAutospacing="0" w:after="120" w:afterAutospacing="0" w:line="360" w:lineRule="auto"/>
        <w:ind w:left="1276"/>
        <w:jc w:val="both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Co</w:t>
      </w:r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nsiderando o atual cenário excepcional e que a regra de flexibilização temporária trazida pela MP 931/2020 (art. 6º, II) não possui </w:t>
      </w:r>
      <w:r w:rsidR="008916D9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ressalvas ou exceção</w:t>
      </w:r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, a administração pública, por ocasião da qualificação econômico-financeira em licitações, deve receber como válidos os balanços patrimoniais e demonstrações contábeis, ainda que sem arquivamento prévio na </w:t>
      </w:r>
      <w:proofErr w:type="spellStart"/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Jucemat</w:t>
      </w:r>
      <w:proofErr w:type="spellEnd"/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ou em junta</w:t>
      </w:r>
      <w:r w:rsidR="008916D9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s</w:t>
      </w:r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comercia</w:t>
      </w:r>
      <w:r w:rsidR="008916D9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is</w:t>
      </w:r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de outros Estados</w:t>
      </w:r>
      <w:r w:rsidR="001D7DEF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.</w:t>
      </w:r>
      <w:r w:rsidR="00C46794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27EB2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Recebidos esses documentos, a administração determinará que a empresa </w:t>
      </w:r>
      <w:r w:rsidR="00F27EB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apresente a documentação corrigida (autenticada na </w:t>
      </w:r>
      <w:proofErr w:type="spellStart"/>
      <w:r w:rsidR="00F27EB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Jucemat</w:t>
      </w:r>
      <w:proofErr w:type="spellEnd"/>
      <w:r w:rsidR="00F27EB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) </w:t>
      </w:r>
      <w:r w:rsidR="00F27EB2" w:rsidRPr="00651491">
        <w:rPr>
          <w:rFonts w:asciiTheme="minorHAnsi" w:hAnsiTheme="minorHAnsi" w:cs="Arial"/>
          <w:color w:val="000000"/>
          <w:sz w:val="22"/>
          <w:szCs w:val="22"/>
        </w:rPr>
        <w:t>de acordo com o</w:t>
      </w:r>
      <w:r w:rsidR="00F27EB2" w:rsidRPr="00651491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prazo estabelecido na MP 931/2020, ou seja, até trinta dias depois que a junta comercial restabelecer a prestação regular dos seus serviços.</w:t>
      </w:r>
    </w:p>
    <w:p w14:paraId="7134BC01" w14:textId="14A145B4" w:rsidR="00013CE7" w:rsidRPr="00651491" w:rsidRDefault="00013CE7" w:rsidP="00651491">
      <w:pPr>
        <w:pStyle w:val="textbody"/>
        <w:numPr>
          <w:ilvl w:val="0"/>
          <w:numId w:val="34"/>
        </w:numPr>
        <w:spacing w:before="0" w:beforeAutospacing="0" w:after="120" w:afterAutospacing="0" w:line="360" w:lineRule="auto"/>
        <w:ind w:left="127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No caso das “empresas” licitantes que em decorrência de sua localização tenham a obrigação legal de arquivar atos jurídicos na </w:t>
      </w:r>
      <w:proofErr w:type="spellStart"/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Jucemat</w:t>
      </w:r>
      <w:proofErr w:type="spellEnd"/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, a administração </w:t>
      </w:r>
      <w:r w:rsidR="00FC5431"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deve</w:t>
      </w:r>
      <w:r w:rsidRPr="00651491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orientá-las a realizarem o registro por meio eletrônico conforme disciplina da 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>Resolução Plenária nº 003/2018</w:t>
      </w:r>
      <w:r w:rsidR="00C93576" w:rsidRPr="00651491">
        <w:rPr>
          <w:rFonts w:asciiTheme="minorHAnsi" w:hAnsiTheme="minorHAnsi" w:cs="Arial"/>
          <w:color w:val="000000"/>
          <w:sz w:val="22"/>
          <w:szCs w:val="22"/>
        </w:rPr>
        <w:t xml:space="preserve"> do órgão mato-grossense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>, porém, desde que respeitado o prazo excepcional de apresentação desses documentos estabelecido pela MP 931/2020.</w:t>
      </w:r>
    </w:p>
    <w:p w14:paraId="3E6ED210" w14:textId="3CDC9AC3" w:rsidR="00570D04" w:rsidRPr="00651491" w:rsidRDefault="000A4136" w:rsidP="00651491">
      <w:pPr>
        <w:pStyle w:val="textbody"/>
        <w:numPr>
          <w:ilvl w:val="0"/>
          <w:numId w:val="34"/>
        </w:numPr>
        <w:shd w:val="clear" w:color="auto" w:fill="FFFFFF"/>
        <w:spacing w:before="0" w:beforeAutospacing="0" w:after="120" w:afterAutospacing="0" w:line="360" w:lineRule="auto"/>
        <w:ind w:left="1276"/>
        <w:jc w:val="both"/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Respeitada </w:t>
      </w:r>
      <w:r w:rsidR="00013CE7" w:rsidRPr="00651491">
        <w:rPr>
          <w:rFonts w:asciiTheme="minorHAnsi" w:hAnsiTheme="minorHAnsi" w:cs="Arial"/>
          <w:color w:val="000000"/>
          <w:sz w:val="22"/>
          <w:szCs w:val="22"/>
        </w:rPr>
        <w:t xml:space="preserve">a flexibilização excepcional de prazo trazido pela MP 931/2020, </w:t>
      </w:r>
      <w:r w:rsidRPr="00651491">
        <w:rPr>
          <w:rFonts w:asciiTheme="minorHAnsi" w:hAnsiTheme="minorHAnsi" w:cs="Arial"/>
          <w:color w:val="000000"/>
          <w:sz w:val="22"/>
          <w:szCs w:val="22"/>
        </w:rPr>
        <w:t xml:space="preserve">que </w:t>
      </w:r>
      <w:r w:rsidR="00013CE7" w:rsidRPr="00651491">
        <w:rPr>
          <w:rFonts w:asciiTheme="minorHAnsi" w:hAnsiTheme="minorHAnsi" w:cs="Arial"/>
          <w:color w:val="000000"/>
          <w:sz w:val="22"/>
          <w:szCs w:val="22"/>
        </w:rPr>
        <w:t>proporciona temporariamente a apresentação de documentos sem arquivamento prévio nas juntas comerciais, a administração</w:t>
      </w:r>
      <w:r w:rsidR="009A3596" w:rsidRPr="0065149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13CE7" w:rsidRPr="00651491">
        <w:rPr>
          <w:rFonts w:asciiTheme="minorHAnsi" w:hAnsiTheme="minorHAnsi" w:cs="Arial"/>
          <w:color w:val="000000"/>
          <w:sz w:val="22"/>
          <w:szCs w:val="22"/>
        </w:rPr>
        <w:t>deve se resguardar em relação a outras situações que possam desvirtuar a lei nos aspectos d</w:t>
      </w:r>
      <w:r w:rsidR="009A3596" w:rsidRPr="00651491">
        <w:rPr>
          <w:rFonts w:asciiTheme="minorHAnsi" w:hAnsiTheme="minorHAnsi" w:cs="Arial"/>
          <w:color w:val="000000"/>
          <w:sz w:val="22"/>
          <w:szCs w:val="22"/>
        </w:rPr>
        <w:t xml:space="preserve">a qualificação econômico-financeira nas licitações, </w:t>
      </w:r>
      <w:r w:rsidR="008A35D7" w:rsidRPr="00651491">
        <w:rPr>
          <w:rFonts w:asciiTheme="minorHAnsi" w:hAnsiTheme="minorHAnsi" w:cs="Arial"/>
          <w:color w:val="000000"/>
          <w:sz w:val="22"/>
          <w:szCs w:val="22"/>
        </w:rPr>
        <w:t xml:space="preserve">habilitação essa </w:t>
      </w:r>
      <w:r w:rsidR="009A3596" w:rsidRPr="00651491">
        <w:rPr>
          <w:rFonts w:asciiTheme="minorHAnsi" w:hAnsiTheme="minorHAnsi" w:cs="Arial"/>
          <w:color w:val="000000"/>
          <w:sz w:val="22"/>
          <w:szCs w:val="22"/>
        </w:rPr>
        <w:t xml:space="preserve">que visa </w:t>
      </w:r>
      <w:r w:rsidR="009A3596" w:rsidRPr="00651491">
        <w:rPr>
          <w:rFonts w:asciiTheme="minorHAnsi" w:hAnsiTheme="minorHAnsi" w:cs="Arial"/>
          <w:sz w:val="22"/>
          <w:szCs w:val="22"/>
        </w:rPr>
        <w:t>a assegurar que a empresa contratada, ao fim do procedimento licitatório, disponha de recursos suficientes para a satisfatória execução do objeto contratado, trazendo, por consequência, maior segurança à Administraçã</w:t>
      </w:r>
      <w:r w:rsidR="004F0C5C" w:rsidRPr="00651491">
        <w:rPr>
          <w:rFonts w:asciiTheme="minorHAnsi" w:hAnsiTheme="minorHAnsi" w:cs="Arial"/>
          <w:sz w:val="22"/>
          <w:szCs w:val="22"/>
        </w:rPr>
        <w:t>o</w:t>
      </w:r>
      <w:r w:rsidR="009A3596" w:rsidRPr="00651491">
        <w:rPr>
          <w:rFonts w:asciiTheme="minorHAnsi" w:hAnsiTheme="minorHAnsi" w:cs="Arial"/>
          <w:sz w:val="22"/>
          <w:szCs w:val="22"/>
        </w:rPr>
        <w:t>.</w:t>
      </w:r>
    </w:p>
    <w:p w14:paraId="7663E940" w14:textId="77777777" w:rsidR="00AB1712" w:rsidRPr="00651491" w:rsidRDefault="00AB1712" w:rsidP="00161F94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hd w:val="clear" w:color="auto" w:fill="FFFFFF"/>
        </w:rPr>
      </w:pPr>
    </w:p>
    <w:p w14:paraId="071EB4B2" w14:textId="233B0D02" w:rsidR="003B70DA" w:rsidRDefault="003B70DA" w:rsidP="003B70DA">
      <w:pPr>
        <w:spacing w:line="240" w:lineRule="auto"/>
        <w:jc w:val="right"/>
        <w:rPr>
          <w:rFonts w:cs="Arial"/>
          <w:color w:val="000000" w:themeColor="text1"/>
        </w:rPr>
      </w:pPr>
      <w:r w:rsidRPr="00651491">
        <w:rPr>
          <w:rFonts w:cs="Arial"/>
          <w:color w:val="000000" w:themeColor="text1"/>
        </w:rPr>
        <w:t xml:space="preserve">Cuiabá-MT, </w:t>
      </w:r>
      <w:r w:rsidR="008B488F" w:rsidRPr="00651491">
        <w:rPr>
          <w:rFonts w:cs="Arial"/>
          <w:color w:val="000000" w:themeColor="text1"/>
        </w:rPr>
        <w:t>1</w:t>
      </w:r>
      <w:r w:rsidR="008B5CE6" w:rsidRPr="00651491">
        <w:rPr>
          <w:rFonts w:cs="Arial"/>
          <w:color w:val="000000" w:themeColor="text1"/>
        </w:rPr>
        <w:t>9</w:t>
      </w:r>
      <w:r w:rsidRPr="00651491">
        <w:rPr>
          <w:rFonts w:cs="Arial"/>
          <w:color w:val="000000" w:themeColor="text1"/>
        </w:rPr>
        <w:t xml:space="preserve"> de </w:t>
      </w:r>
      <w:r w:rsidR="0046447E" w:rsidRPr="00651491">
        <w:rPr>
          <w:rFonts w:cs="Arial"/>
          <w:color w:val="000000" w:themeColor="text1"/>
        </w:rPr>
        <w:t>maio</w:t>
      </w:r>
      <w:r w:rsidRPr="00651491">
        <w:rPr>
          <w:rFonts w:cs="Arial"/>
          <w:color w:val="000000" w:themeColor="text1"/>
        </w:rPr>
        <w:t xml:space="preserve"> de 2020.</w:t>
      </w:r>
    </w:p>
    <w:p w14:paraId="2B6EDC0C" w14:textId="56FC756D" w:rsidR="001F5298" w:rsidRDefault="001F5298" w:rsidP="003B70DA">
      <w:pPr>
        <w:spacing w:line="240" w:lineRule="auto"/>
        <w:jc w:val="right"/>
        <w:rPr>
          <w:rFonts w:cs="Arial"/>
          <w:color w:val="000000" w:themeColor="text1"/>
        </w:rPr>
      </w:pPr>
    </w:p>
    <w:p w14:paraId="2E31B1DD" w14:textId="77777777" w:rsidR="001F5298" w:rsidRPr="00651491" w:rsidRDefault="001F5298" w:rsidP="003B70DA">
      <w:pPr>
        <w:spacing w:line="240" w:lineRule="auto"/>
        <w:jc w:val="right"/>
        <w:rPr>
          <w:rFonts w:cs="Arial"/>
          <w:color w:val="000000" w:themeColor="text1"/>
        </w:rPr>
      </w:pPr>
    </w:p>
    <w:p w14:paraId="18E9294F" w14:textId="77777777" w:rsidR="003B70DA" w:rsidRPr="00651491" w:rsidRDefault="003B70DA" w:rsidP="003B70DA">
      <w:pPr>
        <w:spacing w:after="0" w:line="360" w:lineRule="auto"/>
        <w:jc w:val="right"/>
        <w:rPr>
          <w:rFonts w:cs="Arial"/>
          <w:color w:val="000000" w:themeColor="text1"/>
        </w:rPr>
      </w:pPr>
    </w:p>
    <w:tbl>
      <w:tblPr>
        <w:tblStyle w:val="Tabelacomgrade"/>
        <w:tblW w:w="8962" w:type="dxa"/>
        <w:tblLook w:val="04A0" w:firstRow="1" w:lastRow="0" w:firstColumn="1" w:lastColumn="0" w:noHBand="0" w:noVBand="1"/>
      </w:tblPr>
      <w:tblGrid>
        <w:gridCol w:w="1794"/>
        <w:gridCol w:w="7168"/>
      </w:tblGrid>
      <w:tr w:rsidR="003B70DA" w:rsidRPr="00651491" w14:paraId="1807ED3F" w14:textId="77777777" w:rsidTr="001F5298">
        <w:trPr>
          <w:trHeight w:val="818"/>
        </w:trPr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7EE9" w14:textId="77777777" w:rsidR="003B70DA" w:rsidRPr="00651491" w:rsidRDefault="003B70DA" w:rsidP="00671A72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  <w:r w:rsidRPr="00651491">
              <w:rPr>
                <w:rFonts w:cs="Arial"/>
                <w:b/>
                <w:color w:val="000000" w:themeColor="text1"/>
              </w:rPr>
              <w:t>Elaborada por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8B9E2" w14:textId="77777777" w:rsidR="00CE3D14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proofErr w:type="spellStart"/>
            <w:r w:rsidRPr="00651491">
              <w:rPr>
                <w:rFonts w:cs="Arial"/>
                <w:color w:val="000000" w:themeColor="text1"/>
              </w:rPr>
              <w:t>Natel</w:t>
            </w:r>
            <w:proofErr w:type="spellEnd"/>
            <w:r w:rsidRPr="00651491">
              <w:rPr>
                <w:rFonts w:cs="Arial"/>
                <w:color w:val="000000" w:themeColor="text1"/>
              </w:rPr>
              <w:t xml:space="preserve"> Laudo da Silva</w:t>
            </w:r>
          </w:p>
          <w:p w14:paraId="632B87DC" w14:textId="4C54DA86" w:rsidR="00992DF0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51491">
              <w:rPr>
                <w:rFonts w:cs="Arial"/>
                <w:color w:val="000000" w:themeColor="text1"/>
              </w:rPr>
              <w:t xml:space="preserve">Auditor Público Externo </w:t>
            </w:r>
            <w:r w:rsidR="00CE3D14" w:rsidRPr="00651491">
              <w:rPr>
                <w:rFonts w:cs="Arial"/>
                <w:color w:val="000000" w:themeColor="text1"/>
              </w:rPr>
              <w:t>(</w:t>
            </w:r>
            <w:r w:rsidRPr="00651491">
              <w:rPr>
                <w:rFonts w:cs="Arial"/>
                <w:color w:val="000000" w:themeColor="text1"/>
              </w:rPr>
              <w:t>Consultoria Técnica/</w:t>
            </w:r>
            <w:proofErr w:type="spellStart"/>
            <w:r w:rsidRPr="00651491">
              <w:rPr>
                <w:rFonts w:cs="Arial"/>
                <w:color w:val="000000" w:themeColor="text1"/>
              </w:rPr>
              <w:t>Segecex</w:t>
            </w:r>
            <w:proofErr w:type="spellEnd"/>
            <w:r w:rsidR="00CE3D14" w:rsidRPr="00651491">
              <w:rPr>
                <w:rFonts w:cs="Arial"/>
                <w:color w:val="000000" w:themeColor="text1"/>
              </w:rPr>
              <w:t>)</w:t>
            </w:r>
          </w:p>
        </w:tc>
      </w:tr>
      <w:tr w:rsidR="003B70DA" w:rsidRPr="00651491" w14:paraId="6CC3E4DD" w14:textId="77777777" w:rsidTr="001F5298">
        <w:trPr>
          <w:trHeight w:val="2446"/>
        </w:trPr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A550" w14:textId="77777777" w:rsidR="00671A72" w:rsidRDefault="00671A72" w:rsidP="00671A72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</w:p>
          <w:p w14:paraId="03255A10" w14:textId="658EF348" w:rsidR="003B70DA" w:rsidRPr="00651491" w:rsidRDefault="003B70DA" w:rsidP="00671A72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  <w:r w:rsidRPr="00651491">
              <w:rPr>
                <w:rFonts w:cs="Arial"/>
                <w:b/>
                <w:color w:val="000000" w:themeColor="text1"/>
              </w:rPr>
              <w:t>Validada por</w:t>
            </w:r>
          </w:p>
          <w:p w14:paraId="4AFCD8ED" w14:textId="77777777" w:rsidR="003B70DA" w:rsidRPr="00651491" w:rsidRDefault="003B70DA" w:rsidP="00671A72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5A060" w14:textId="77777777" w:rsidR="00992DF0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proofErr w:type="spellStart"/>
            <w:r w:rsidRPr="00651491">
              <w:rPr>
                <w:rFonts w:cs="Arial"/>
                <w:color w:val="000000" w:themeColor="text1"/>
              </w:rPr>
              <w:t>Risodalva</w:t>
            </w:r>
            <w:proofErr w:type="spellEnd"/>
            <w:r w:rsidRPr="00651491">
              <w:rPr>
                <w:rFonts w:cs="Arial"/>
                <w:color w:val="000000" w:themeColor="text1"/>
              </w:rPr>
              <w:t xml:space="preserve"> Beata de Castro</w:t>
            </w:r>
          </w:p>
          <w:p w14:paraId="611AD005" w14:textId="5F055037" w:rsidR="003B70DA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51491">
              <w:rPr>
                <w:rFonts w:cs="Arial"/>
                <w:color w:val="000000" w:themeColor="text1"/>
              </w:rPr>
              <w:t xml:space="preserve">Auditora Pública Externa </w:t>
            </w:r>
            <w:r w:rsidR="00992DF0" w:rsidRPr="00651491">
              <w:rPr>
                <w:rFonts w:cs="Arial"/>
                <w:color w:val="000000" w:themeColor="text1"/>
              </w:rPr>
              <w:t>(</w:t>
            </w:r>
            <w:proofErr w:type="spellStart"/>
            <w:r w:rsidRPr="00651491">
              <w:rPr>
                <w:rFonts w:cs="Arial"/>
                <w:color w:val="000000" w:themeColor="text1"/>
              </w:rPr>
              <w:t>Segepres</w:t>
            </w:r>
            <w:proofErr w:type="spellEnd"/>
            <w:r w:rsidR="00992DF0" w:rsidRPr="00651491">
              <w:rPr>
                <w:rFonts w:cs="Arial"/>
                <w:color w:val="000000" w:themeColor="text1"/>
              </w:rPr>
              <w:t>)</w:t>
            </w:r>
          </w:p>
          <w:p w14:paraId="5CAB2B14" w14:textId="77777777" w:rsidR="003B70DA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  <w:p w14:paraId="2DA0813F" w14:textId="1DA9D823" w:rsidR="003B70DA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51491">
              <w:rPr>
                <w:rFonts w:cs="Arial"/>
                <w:color w:val="000000" w:themeColor="text1"/>
              </w:rPr>
              <w:t>Roberto Carlos de Figueiredo</w:t>
            </w:r>
            <w:r w:rsidR="00992DF0" w:rsidRPr="00651491">
              <w:rPr>
                <w:rFonts w:cs="Arial"/>
                <w:color w:val="000000" w:themeColor="text1"/>
              </w:rPr>
              <w:t xml:space="preserve"> (</w:t>
            </w:r>
            <w:r w:rsidRPr="00651491">
              <w:rPr>
                <w:rFonts w:cs="Arial"/>
                <w:color w:val="000000" w:themeColor="text1"/>
              </w:rPr>
              <w:t>Secretário Geral de Controle Externo</w:t>
            </w:r>
            <w:r w:rsidR="00992DF0" w:rsidRPr="00651491">
              <w:rPr>
                <w:rFonts w:cs="Arial"/>
                <w:color w:val="000000" w:themeColor="text1"/>
              </w:rPr>
              <w:t>)</w:t>
            </w:r>
          </w:p>
          <w:p w14:paraId="018B25B5" w14:textId="77777777" w:rsidR="003B70DA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  <w:p w14:paraId="52323FBC" w14:textId="62E37D90" w:rsidR="00992DF0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51491">
              <w:rPr>
                <w:rFonts w:cs="Arial"/>
                <w:color w:val="000000" w:themeColor="text1"/>
              </w:rPr>
              <w:t>Flávio Vieira</w:t>
            </w:r>
            <w:r w:rsidR="00992DF0" w:rsidRPr="00651491">
              <w:rPr>
                <w:rFonts w:cs="Arial"/>
                <w:color w:val="000000" w:themeColor="text1"/>
              </w:rPr>
              <w:t xml:space="preserve"> (</w:t>
            </w:r>
            <w:r w:rsidRPr="00651491">
              <w:rPr>
                <w:rFonts w:cs="Arial"/>
                <w:color w:val="000000" w:themeColor="text1"/>
              </w:rPr>
              <w:t>Secretário Geral da Presidência</w:t>
            </w:r>
            <w:r w:rsidR="00992DF0" w:rsidRPr="00651491">
              <w:rPr>
                <w:rFonts w:cs="Arial"/>
                <w:color w:val="000000" w:themeColor="text1"/>
              </w:rPr>
              <w:t>)</w:t>
            </w:r>
          </w:p>
        </w:tc>
      </w:tr>
      <w:tr w:rsidR="003B70DA" w:rsidRPr="00651491" w14:paraId="24B4B06C" w14:textId="77777777" w:rsidTr="001F5298">
        <w:trPr>
          <w:trHeight w:val="1228"/>
        </w:trPr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F6A9" w14:textId="77777777" w:rsidR="00671A72" w:rsidRDefault="00671A72" w:rsidP="00671A72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</w:p>
          <w:p w14:paraId="322FE839" w14:textId="3817EED1" w:rsidR="003B70DA" w:rsidRPr="00651491" w:rsidRDefault="003B70DA" w:rsidP="00671A72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  <w:r w:rsidRPr="00651491">
              <w:rPr>
                <w:rFonts w:cs="Arial"/>
                <w:b/>
                <w:color w:val="000000" w:themeColor="text1"/>
              </w:rPr>
              <w:t>Aprovada</w:t>
            </w:r>
            <w:r w:rsidR="00975939" w:rsidRPr="00651491">
              <w:rPr>
                <w:rFonts w:cs="Arial"/>
                <w:b/>
                <w:color w:val="000000" w:themeColor="text1"/>
              </w:rPr>
              <w:t xml:space="preserve"> </w:t>
            </w:r>
            <w:r w:rsidRPr="00651491">
              <w:rPr>
                <w:rFonts w:cs="Arial"/>
                <w:b/>
                <w:color w:val="000000" w:themeColor="text1"/>
              </w:rPr>
              <w:t>por</w:t>
            </w:r>
          </w:p>
          <w:p w14:paraId="72ECA8F2" w14:textId="77777777" w:rsidR="003B70DA" w:rsidRPr="00651491" w:rsidRDefault="003B70DA" w:rsidP="00671A72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A4EBC" w14:textId="77777777" w:rsidR="003B70DA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51491">
              <w:rPr>
                <w:rFonts w:cs="Arial"/>
                <w:color w:val="000000" w:themeColor="text1"/>
              </w:rPr>
              <w:t xml:space="preserve">Guilherme </w:t>
            </w:r>
            <w:proofErr w:type="spellStart"/>
            <w:r w:rsidRPr="00651491">
              <w:rPr>
                <w:rFonts w:cs="Arial"/>
                <w:color w:val="000000" w:themeColor="text1"/>
              </w:rPr>
              <w:t>Antonio</w:t>
            </w:r>
            <w:proofErr w:type="spellEnd"/>
            <w:r w:rsidRPr="00651491">
              <w:rPr>
                <w:rFonts w:cs="Arial"/>
                <w:color w:val="000000" w:themeColor="text1"/>
              </w:rPr>
              <w:t xml:space="preserve"> Maluf</w:t>
            </w:r>
          </w:p>
          <w:p w14:paraId="184B8832" w14:textId="1225A8DB" w:rsidR="003B70DA" w:rsidRPr="00651491" w:rsidRDefault="003B70DA" w:rsidP="001F5298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651491">
              <w:rPr>
                <w:rFonts w:cs="Arial"/>
                <w:color w:val="000000" w:themeColor="text1"/>
              </w:rPr>
              <w:t>Presidente do TCE-MT e d</w:t>
            </w:r>
            <w:r w:rsidR="009A2F1A" w:rsidRPr="00651491">
              <w:rPr>
                <w:rFonts w:cs="Arial"/>
                <w:color w:val="000000" w:themeColor="text1"/>
              </w:rPr>
              <w:t xml:space="preserve">a comissão </w:t>
            </w:r>
            <w:r w:rsidR="00594846" w:rsidRPr="00651491">
              <w:rPr>
                <w:rFonts w:cs="Arial"/>
                <w:color w:val="000000" w:themeColor="text1"/>
              </w:rPr>
              <w:t xml:space="preserve">especial </w:t>
            </w:r>
            <w:r w:rsidR="009A2F1A" w:rsidRPr="00651491">
              <w:rPr>
                <w:rFonts w:cs="Arial"/>
                <w:color w:val="000000" w:themeColor="text1"/>
              </w:rPr>
              <w:t>de apoio (Portaria 70/2020)</w:t>
            </w:r>
          </w:p>
        </w:tc>
      </w:tr>
    </w:tbl>
    <w:p w14:paraId="0461EE85" w14:textId="438127E7" w:rsidR="00D27CA2" w:rsidRDefault="00D27CA2" w:rsidP="003B70DA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4CE4A0BC" w14:textId="77777777" w:rsidR="001F5298" w:rsidRDefault="001F5298" w:rsidP="003B70DA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2EABB172" w14:textId="77777777" w:rsidR="00AB1712" w:rsidRDefault="00AB1712" w:rsidP="003B70DA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4D1E8E0E" w14:textId="77777777" w:rsidR="00806B57" w:rsidRDefault="00806B57" w:rsidP="00806B57">
      <w:pPr>
        <w:pStyle w:val="Default"/>
        <w:shd w:val="clear" w:color="auto" w:fill="DBDBDB" w:themeFill="accent3" w:themeFillTint="66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</w:p>
    <w:p w14:paraId="7337D569" w14:textId="6A5109FD" w:rsidR="00AB1712" w:rsidRPr="00AB1712" w:rsidRDefault="00AB1712" w:rsidP="00806B57">
      <w:pPr>
        <w:pStyle w:val="Textodenotadefim"/>
        <w:spacing w:after="120"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AB1712">
        <w:rPr>
          <w:rFonts w:cs="Arial"/>
          <w:color w:val="000000" w:themeColor="text1"/>
          <w:sz w:val="22"/>
          <w:szCs w:val="22"/>
        </w:rPr>
        <w:t xml:space="preserve">Esta Orientação Técnica foi emitida no âmbito da comissão especial de apoio, instituída </w:t>
      </w:r>
      <w:r w:rsidR="00806B57">
        <w:rPr>
          <w:rFonts w:cs="Arial"/>
          <w:color w:val="000000" w:themeColor="text1"/>
          <w:sz w:val="22"/>
          <w:szCs w:val="22"/>
        </w:rPr>
        <w:t xml:space="preserve">pela </w:t>
      </w:r>
      <w:r w:rsidRPr="00AB1712">
        <w:rPr>
          <w:rFonts w:cs="Arial"/>
          <w:color w:val="000000" w:themeColor="text1"/>
          <w:sz w:val="22"/>
          <w:szCs w:val="22"/>
        </w:rPr>
        <w:t>Portaria 070/2020, presidida pelo Conselheiro Presidente Guilherme Maluf e coordenada pelo Secretário Geral da Presidência Flávio de Souza Vieira.</w:t>
      </w:r>
    </w:p>
    <w:p w14:paraId="40031255" w14:textId="77777777" w:rsidR="00AB1712" w:rsidRPr="00AB1712" w:rsidRDefault="00AB1712" w:rsidP="00806B57">
      <w:pPr>
        <w:pStyle w:val="Textodenotadefim"/>
        <w:spacing w:after="120"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AB1712">
        <w:rPr>
          <w:rFonts w:cs="Arial"/>
          <w:color w:val="000000" w:themeColor="text1"/>
          <w:sz w:val="22"/>
          <w:szCs w:val="22"/>
        </w:rPr>
        <w:t>Por não se enquadrar no rito e nas regras estabelecidas para as consultas formais no Regimento Interno do TCE-MT (artigos 232 a 238), as orientações técnicas deliberadas pela comissão especial de apoio não terão força normativa, não constituirão prejulgados de tese e não vincularão o exame de feitos sobre o mesmo tema, a partir de sua publicação.</w:t>
      </w:r>
    </w:p>
    <w:p w14:paraId="50E32404" w14:textId="77777777" w:rsidR="00AB1712" w:rsidRPr="00AB1712" w:rsidRDefault="00AB1712" w:rsidP="00806B57">
      <w:pPr>
        <w:pStyle w:val="Textodenotadefim"/>
        <w:spacing w:after="120"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AB1712">
        <w:rPr>
          <w:rFonts w:cs="Arial"/>
          <w:color w:val="000000" w:themeColor="text1"/>
          <w:sz w:val="22"/>
          <w:szCs w:val="22"/>
        </w:rPr>
        <w:t>Entretanto, este documento, expedido em resposta a questionamento informal de jurisdicionados, tem por objetivo orientar de forma pedagógica a atuação das autoridades públicas durante o período de enfrentamento da emergência de saúde pública de importância internacional decorrente do Covid-19, visando aumentar a segurança jurídica na aplicação das normas.</w:t>
      </w:r>
    </w:p>
    <w:p w14:paraId="3FC12CF4" w14:textId="34E97ED4" w:rsidR="00BD3295" w:rsidRPr="00AB1712" w:rsidRDefault="00AB1712" w:rsidP="00806B57">
      <w:pPr>
        <w:spacing w:line="360" w:lineRule="auto"/>
        <w:jc w:val="both"/>
        <w:rPr>
          <w:rFonts w:cs="Arial"/>
          <w:color w:val="000000" w:themeColor="text1"/>
        </w:rPr>
      </w:pPr>
      <w:r w:rsidRPr="00AB1712">
        <w:rPr>
          <w:rFonts w:cs="Arial"/>
          <w:color w:val="000000" w:themeColor="text1"/>
        </w:rPr>
        <w:lastRenderedPageBreak/>
        <w:t xml:space="preserve">Tal medida encontra-se em plena consonância com as diretrizes estabelecidas para os Tribunais de Contas na Resolução Conjunta </w:t>
      </w:r>
      <w:proofErr w:type="spellStart"/>
      <w:r w:rsidRPr="00AB1712">
        <w:rPr>
          <w:rFonts w:cs="Arial"/>
          <w:color w:val="000000" w:themeColor="text1"/>
        </w:rPr>
        <w:t>Atricon</w:t>
      </w:r>
      <w:proofErr w:type="spellEnd"/>
      <w:r w:rsidRPr="00AB1712">
        <w:rPr>
          <w:rFonts w:cs="Arial"/>
          <w:color w:val="000000" w:themeColor="text1"/>
        </w:rPr>
        <w:t>/</w:t>
      </w:r>
      <w:proofErr w:type="spellStart"/>
      <w:r w:rsidRPr="00AB1712">
        <w:rPr>
          <w:rFonts w:cs="Arial"/>
          <w:color w:val="000000" w:themeColor="text1"/>
        </w:rPr>
        <w:t>Abracom</w:t>
      </w:r>
      <w:proofErr w:type="spellEnd"/>
      <w:r w:rsidRPr="00AB1712">
        <w:rPr>
          <w:rFonts w:cs="Arial"/>
          <w:color w:val="000000" w:themeColor="text1"/>
        </w:rPr>
        <w:t>/</w:t>
      </w:r>
      <w:proofErr w:type="spellStart"/>
      <w:r w:rsidRPr="00AB1712">
        <w:rPr>
          <w:rFonts w:cs="Arial"/>
          <w:color w:val="000000" w:themeColor="text1"/>
        </w:rPr>
        <w:t>Audicon</w:t>
      </w:r>
      <w:proofErr w:type="spellEnd"/>
      <w:r w:rsidRPr="00AB1712">
        <w:rPr>
          <w:rFonts w:cs="Arial"/>
          <w:color w:val="000000" w:themeColor="text1"/>
        </w:rPr>
        <w:t>/CNPTC/IRB nº 1, de 27 de março de 2020, que recomenda, dentre outras, a atuação pedagógica e a busca de soluções conjuntas e harmônicas pelas Cortes de Contas e os gestores fiscalizados.</w:t>
      </w:r>
    </w:p>
    <w:sectPr w:rsidR="00BD3295" w:rsidRPr="00AB17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E176C" w14:textId="77777777" w:rsidR="002C2496" w:rsidRDefault="002C2496" w:rsidP="0062601A">
      <w:pPr>
        <w:spacing w:after="0" w:line="240" w:lineRule="auto"/>
      </w:pPr>
      <w:r>
        <w:separator/>
      </w:r>
    </w:p>
  </w:endnote>
  <w:endnote w:type="continuationSeparator" w:id="0">
    <w:p w14:paraId="4E9ACCBE" w14:textId="77777777" w:rsidR="002C2496" w:rsidRDefault="002C2496" w:rsidP="0062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493349"/>
      <w:docPartObj>
        <w:docPartGallery w:val="Page Numbers (Bottom of Page)"/>
        <w:docPartUnique/>
      </w:docPartObj>
    </w:sdtPr>
    <w:sdtEndPr/>
    <w:sdtContent>
      <w:p w14:paraId="6EC97705" w14:textId="7A2E70CD" w:rsidR="00651491" w:rsidRDefault="006514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B57">
          <w:rPr>
            <w:noProof/>
          </w:rPr>
          <w:t>8</w:t>
        </w:r>
        <w:r>
          <w:fldChar w:fldCharType="end"/>
        </w:r>
      </w:p>
    </w:sdtContent>
  </w:sdt>
  <w:p w14:paraId="4F6AEF45" w14:textId="77777777" w:rsidR="00651491" w:rsidRDefault="00651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5D722" w14:textId="77777777" w:rsidR="002C2496" w:rsidRDefault="002C2496" w:rsidP="0062601A">
      <w:pPr>
        <w:spacing w:after="0" w:line="240" w:lineRule="auto"/>
      </w:pPr>
      <w:r>
        <w:separator/>
      </w:r>
    </w:p>
  </w:footnote>
  <w:footnote w:type="continuationSeparator" w:id="0">
    <w:p w14:paraId="6A35ECDF" w14:textId="77777777" w:rsidR="002C2496" w:rsidRDefault="002C2496" w:rsidP="0062601A">
      <w:pPr>
        <w:spacing w:after="0" w:line="240" w:lineRule="auto"/>
      </w:pPr>
      <w:r>
        <w:continuationSeparator/>
      </w:r>
    </w:p>
  </w:footnote>
  <w:footnote w:id="1">
    <w:p w14:paraId="1224389F" w14:textId="1ACD390F" w:rsidR="005C63F6" w:rsidRPr="00651491" w:rsidRDefault="005C63F6" w:rsidP="005C63F6">
      <w:pPr>
        <w:spacing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651491">
        <w:rPr>
          <w:rStyle w:val="Refdenotaderodap"/>
          <w:rFonts w:cs="Arial"/>
          <w:color w:val="000000" w:themeColor="text1"/>
          <w:sz w:val="18"/>
          <w:szCs w:val="20"/>
        </w:rPr>
        <w:footnoteRef/>
      </w:r>
      <w:r w:rsidRPr="00651491">
        <w:rPr>
          <w:rFonts w:cs="Arial"/>
          <w:color w:val="000000" w:themeColor="text1"/>
          <w:sz w:val="18"/>
          <w:szCs w:val="20"/>
        </w:rPr>
        <w:t xml:space="preserve"> </w:t>
      </w:r>
      <w:r w:rsidRPr="00651491">
        <w:rPr>
          <w:rFonts w:eastAsia="Times New Roman" w:cs="Arial"/>
          <w:color w:val="000000" w:themeColor="text1"/>
          <w:sz w:val="18"/>
          <w:szCs w:val="20"/>
          <w:lang w:eastAsia="pt-BR"/>
        </w:rPr>
        <w:t>Altera a Lei nº 10.406, de 10 de janeiro de 2002 - Código Civil, a Lei nº 5.764, de 16 de dezembro de 1971, e a Lei nº 6.404, de 15 de dezembro de 1976, e dá outras providências.</w:t>
      </w:r>
    </w:p>
  </w:footnote>
  <w:footnote w:id="2">
    <w:p w14:paraId="11CAE43C" w14:textId="162AD074" w:rsidR="00EE6796" w:rsidRPr="00651491" w:rsidRDefault="00EE6796" w:rsidP="00EE6796">
      <w:pPr>
        <w:pStyle w:val="textbody"/>
        <w:spacing w:before="0" w:beforeAutospacing="0" w:after="120" w:afterAutospacing="0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651491">
        <w:rPr>
          <w:rStyle w:val="Refdenotaderodap"/>
          <w:rFonts w:asciiTheme="minorHAnsi" w:hAnsiTheme="minorHAnsi" w:cs="Arial"/>
          <w:sz w:val="18"/>
          <w:szCs w:val="18"/>
        </w:rPr>
        <w:footnoteRef/>
      </w:r>
      <w:r w:rsidRPr="00651491">
        <w:rPr>
          <w:rFonts w:asciiTheme="minorHAnsi" w:hAnsiTheme="minorHAnsi" w:cs="Arial"/>
          <w:sz w:val="18"/>
          <w:szCs w:val="18"/>
        </w:rPr>
        <w:t xml:space="preserve"> </w:t>
      </w:r>
      <w:r w:rsidRPr="00651491">
        <w:rPr>
          <w:rFonts w:asciiTheme="minorHAnsi" w:hAnsiTheme="minorHAnsi" w:cs="Arial"/>
          <w:color w:val="000000" w:themeColor="text1"/>
          <w:sz w:val="18"/>
          <w:szCs w:val="18"/>
        </w:rPr>
        <w:t>Segundo a Lei 8.666/93, art. 31, inciso I, no rol taxativo de documentação de qualificação econômico-financeira inserem-se o “balanço patrimonial e demonstrações contábeis do último exercício social, obrigatórios e já apresentados na forma da lei, que comprovem a boa situação financeira da empresa, vedada a sua substituição por balancetes ou balanços provisórios, podendo ser atualizados por índices oficiais quando encerrado há mais de três meses da data de apresentação da proposta”.</w:t>
      </w:r>
    </w:p>
  </w:footnote>
  <w:footnote w:id="3">
    <w:p w14:paraId="33873242" w14:textId="32C30D90" w:rsidR="003D42B5" w:rsidRPr="00651491" w:rsidRDefault="003D42B5" w:rsidP="003D42B5">
      <w:pPr>
        <w:pStyle w:val="Textodenotaderodap"/>
        <w:jc w:val="both"/>
        <w:rPr>
          <w:rFonts w:cs="Arial"/>
          <w:sz w:val="18"/>
        </w:rPr>
      </w:pPr>
      <w:r w:rsidRPr="00651491">
        <w:rPr>
          <w:rStyle w:val="Refdenotaderodap"/>
          <w:rFonts w:cs="Arial"/>
          <w:sz w:val="18"/>
        </w:rPr>
        <w:footnoteRef/>
      </w:r>
      <w:r w:rsidRPr="00651491">
        <w:rPr>
          <w:rFonts w:cs="Arial"/>
          <w:sz w:val="18"/>
        </w:rPr>
        <w:t xml:space="preserve"> Decreto Estadual 424, de 25/03/2020 (atualizado pelos Decretos 462/2020 e 477/2020).</w:t>
      </w:r>
    </w:p>
  </w:footnote>
  <w:footnote w:id="4">
    <w:p w14:paraId="37849CF2" w14:textId="77777777" w:rsidR="00F90220" w:rsidRPr="00651491" w:rsidRDefault="00F90220" w:rsidP="00F90220">
      <w:pPr>
        <w:pStyle w:val="Textodenotaderodap"/>
        <w:jc w:val="both"/>
        <w:rPr>
          <w:rFonts w:cs="Arial"/>
          <w:sz w:val="18"/>
        </w:rPr>
      </w:pPr>
      <w:r w:rsidRPr="00651491">
        <w:rPr>
          <w:rStyle w:val="Refdenotaderodap"/>
          <w:rFonts w:cs="Arial"/>
          <w:sz w:val="18"/>
        </w:rPr>
        <w:footnoteRef/>
      </w:r>
      <w:r w:rsidRPr="00651491">
        <w:rPr>
          <w:rFonts w:cs="Arial"/>
          <w:sz w:val="18"/>
        </w:rPr>
        <w:t xml:space="preserve"> Disponível em &lt;</w:t>
      </w:r>
      <w:hyperlink r:id="rId1" w:history="1">
        <w:r w:rsidRPr="00651491">
          <w:rPr>
            <w:rStyle w:val="Hyperlink"/>
            <w:rFonts w:cs="Arial"/>
            <w:sz w:val="18"/>
          </w:rPr>
          <w:t>http://www.jucemat.mt.gov.br/resolucao-plenaria-003-2018.pdf</w:t>
        </w:r>
      </w:hyperlink>
      <w:r w:rsidRPr="00651491">
        <w:rPr>
          <w:rFonts w:cs="Arial"/>
          <w:sz w:val="18"/>
        </w:rPr>
        <w:t>&gt;.</w:t>
      </w:r>
    </w:p>
  </w:footnote>
  <w:footnote w:id="5">
    <w:p w14:paraId="7585C554" w14:textId="77777777" w:rsidR="00F90220" w:rsidRPr="00EB1DE7" w:rsidRDefault="00F90220" w:rsidP="00F90220">
      <w:pPr>
        <w:pStyle w:val="Textodenotaderodap"/>
        <w:jc w:val="both"/>
        <w:rPr>
          <w:rFonts w:ascii="Arial" w:hAnsi="Arial" w:cs="Arial"/>
        </w:rPr>
      </w:pPr>
      <w:r w:rsidRPr="00651491">
        <w:rPr>
          <w:rStyle w:val="Refdenotaderodap"/>
          <w:rFonts w:cs="Arial"/>
          <w:sz w:val="18"/>
        </w:rPr>
        <w:footnoteRef/>
      </w:r>
      <w:r w:rsidRPr="00651491">
        <w:rPr>
          <w:rFonts w:cs="Arial"/>
          <w:sz w:val="18"/>
        </w:rPr>
        <w:t xml:space="preserve"> Disponível em &lt;</w:t>
      </w:r>
      <w:hyperlink r:id="rId2" w:history="1">
        <w:r w:rsidRPr="00651491">
          <w:rPr>
            <w:rStyle w:val="Hyperlink"/>
            <w:rFonts w:cs="Arial"/>
            <w:sz w:val="18"/>
          </w:rPr>
          <w:t>http://www.jucemat.mt.gov.br/resolucao-plenaria-005-2018.pdf</w:t>
        </w:r>
      </w:hyperlink>
      <w:r w:rsidRPr="00651491">
        <w:rPr>
          <w:rFonts w:cs="Arial"/>
          <w:sz w:val="18"/>
        </w:rPr>
        <w:t>&gt;.</w:t>
      </w:r>
    </w:p>
  </w:footnote>
  <w:footnote w:id="6">
    <w:p w14:paraId="0561BF57" w14:textId="136FC489" w:rsidR="00B74488" w:rsidRPr="00651491" w:rsidRDefault="00B74488" w:rsidP="00B74488">
      <w:pPr>
        <w:pStyle w:val="Textodenotaderodap"/>
        <w:jc w:val="both"/>
        <w:rPr>
          <w:rFonts w:cs="Arial"/>
        </w:rPr>
      </w:pPr>
      <w:r w:rsidRPr="00651491">
        <w:rPr>
          <w:rStyle w:val="Refdenotaderodap"/>
          <w:rFonts w:cs="Arial"/>
          <w:sz w:val="18"/>
        </w:rPr>
        <w:footnoteRef/>
      </w:r>
      <w:r w:rsidRPr="00651491">
        <w:rPr>
          <w:rFonts w:cs="Arial"/>
          <w:sz w:val="18"/>
        </w:rPr>
        <w:t xml:space="preserve"> STJ, </w:t>
      </w:r>
      <w:proofErr w:type="spellStart"/>
      <w:r w:rsidRPr="00651491">
        <w:rPr>
          <w:rFonts w:cs="Arial"/>
          <w:sz w:val="18"/>
        </w:rPr>
        <w:t>REsp</w:t>
      </w:r>
      <w:proofErr w:type="spellEnd"/>
      <w:r w:rsidRPr="00651491">
        <w:rPr>
          <w:rFonts w:cs="Arial"/>
          <w:sz w:val="18"/>
        </w:rPr>
        <w:t xml:space="preserve"> nº 1.381.152/RJ.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391C" w14:textId="0963EE86" w:rsidR="00651491" w:rsidRPr="00651491" w:rsidRDefault="00651491" w:rsidP="00651491">
    <w:pPr>
      <w:pStyle w:val="Cabealho"/>
    </w:pPr>
    <w:r>
      <w:object w:dxaOrig="9015" w:dyaOrig="1155" w14:anchorId="73B888C5">
        <v:rect id="_x0000_i1025" style="width:450pt;height:57.8pt" o:preferrelative="t" stroked="f">
          <v:imagedata r:id="rId1" o:title=""/>
        </v:rect>
        <o:OLEObject Type="Embed" ProgID="StaticMetafile" ShapeID="_x0000_i1025" DrawAspect="Content" ObjectID="_165140033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196"/>
    <w:multiLevelType w:val="hybridMultilevel"/>
    <w:tmpl w:val="F1F00C88"/>
    <w:lvl w:ilvl="0" w:tplc="074EA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7B4"/>
    <w:multiLevelType w:val="hybridMultilevel"/>
    <w:tmpl w:val="5AC47A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46C"/>
    <w:multiLevelType w:val="multilevel"/>
    <w:tmpl w:val="30A22A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u w:val="single"/>
      </w:rPr>
    </w:lvl>
  </w:abstractNum>
  <w:abstractNum w:abstractNumId="3" w15:restartNumberingAfterBreak="0">
    <w:nsid w:val="11CE49CD"/>
    <w:multiLevelType w:val="hybridMultilevel"/>
    <w:tmpl w:val="083C65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20C7"/>
    <w:multiLevelType w:val="hybridMultilevel"/>
    <w:tmpl w:val="584E1ED2"/>
    <w:lvl w:ilvl="0" w:tplc="A1D62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372"/>
    <w:multiLevelType w:val="hybridMultilevel"/>
    <w:tmpl w:val="B4F6C7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735EB1"/>
    <w:multiLevelType w:val="hybridMultilevel"/>
    <w:tmpl w:val="896463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F66CB0"/>
    <w:multiLevelType w:val="multilevel"/>
    <w:tmpl w:val="E8C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6F1F"/>
    <w:multiLevelType w:val="hybridMultilevel"/>
    <w:tmpl w:val="0FC8AD8A"/>
    <w:lvl w:ilvl="0" w:tplc="31B8DE2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813E9"/>
    <w:multiLevelType w:val="hybridMultilevel"/>
    <w:tmpl w:val="DEC26D9E"/>
    <w:lvl w:ilvl="0" w:tplc="D4B6D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2486B"/>
    <w:multiLevelType w:val="hybridMultilevel"/>
    <w:tmpl w:val="7D384E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9069B"/>
    <w:multiLevelType w:val="hybridMultilevel"/>
    <w:tmpl w:val="27B4749A"/>
    <w:lvl w:ilvl="0" w:tplc="36744D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76438"/>
    <w:multiLevelType w:val="multilevel"/>
    <w:tmpl w:val="FC0CFF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756678"/>
    <w:multiLevelType w:val="multilevel"/>
    <w:tmpl w:val="B57CEC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2E47AC"/>
    <w:multiLevelType w:val="hybridMultilevel"/>
    <w:tmpl w:val="EF402E98"/>
    <w:lvl w:ilvl="0" w:tplc="FCEEBA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6458"/>
    <w:multiLevelType w:val="multilevel"/>
    <w:tmpl w:val="A40A98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B240AC"/>
    <w:multiLevelType w:val="multilevel"/>
    <w:tmpl w:val="ADDC3F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9BE7920"/>
    <w:multiLevelType w:val="multilevel"/>
    <w:tmpl w:val="3382605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DF47B4"/>
    <w:multiLevelType w:val="hybridMultilevel"/>
    <w:tmpl w:val="04D6BEA0"/>
    <w:lvl w:ilvl="0" w:tplc="B6AC5F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64FDE"/>
    <w:multiLevelType w:val="hybridMultilevel"/>
    <w:tmpl w:val="9EF245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96D13"/>
    <w:multiLevelType w:val="hybridMultilevel"/>
    <w:tmpl w:val="64407A3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7D676C"/>
    <w:multiLevelType w:val="hybridMultilevel"/>
    <w:tmpl w:val="EF3098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A5DC5"/>
    <w:multiLevelType w:val="hybridMultilevel"/>
    <w:tmpl w:val="0C64D60A"/>
    <w:lvl w:ilvl="0" w:tplc="B89E357E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BC77E1"/>
    <w:multiLevelType w:val="hybridMultilevel"/>
    <w:tmpl w:val="FCDC27DE"/>
    <w:lvl w:ilvl="0" w:tplc="B9B4A18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442B7"/>
    <w:multiLevelType w:val="hybridMultilevel"/>
    <w:tmpl w:val="9E769384"/>
    <w:lvl w:ilvl="0" w:tplc="DA72E7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2ADA"/>
    <w:multiLevelType w:val="hybridMultilevel"/>
    <w:tmpl w:val="C77A0DC6"/>
    <w:lvl w:ilvl="0" w:tplc="BDB419B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EE5E52"/>
    <w:multiLevelType w:val="hybridMultilevel"/>
    <w:tmpl w:val="6DF4CADA"/>
    <w:lvl w:ilvl="0" w:tplc="C86ED49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AD3A3F"/>
    <w:multiLevelType w:val="hybridMultilevel"/>
    <w:tmpl w:val="F86CE450"/>
    <w:lvl w:ilvl="0" w:tplc="4D6A50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23AFA"/>
    <w:multiLevelType w:val="hybridMultilevel"/>
    <w:tmpl w:val="9C0E3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A1C43"/>
    <w:multiLevelType w:val="hybridMultilevel"/>
    <w:tmpl w:val="190C2CEE"/>
    <w:lvl w:ilvl="0" w:tplc="36744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C1F30"/>
    <w:multiLevelType w:val="hybridMultilevel"/>
    <w:tmpl w:val="119A7DA4"/>
    <w:lvl w:ilvl="0" w:tplc="5EDEE42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E57D35"/>
    <w:multiLevelType w:val="hybridMultilevel"/>
    <w:tmpl w:val="BF7C6DB8"/>
    <w:lvl w:ilvl="0" w:tplc="A656993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0A27CB"/>
    <w:multiLevelType w:val="multilevel"/>
    <w:tmpl w:val="7D8E3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C2C763E"/>
    <w:multiLevelType w:val="hybridMultilevel"/>
    <w:tmpl w:val="FEACCD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BC15A4"/>
    <w:multiLevelType w:val="hybridMultilevel"/>
    <w:tmpl w:val="F0C8F22C"/>
    <w:lvl w:ilvl="0" w:tplc="36744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7"/>
  </w:num>
  <w:num w:numId="5">
    <w:abstractNumId w:val="24"/>
  </w:num>
  <w:num w:numId="6">
    <w:abstractNumId w:val="27"/>
  </w:num>
  <w:num w:numId="7">
    <w:abstractNumId w:val="32"/>
  </w:num>
  <w:num w:numId="8">
    <w:abstractNumId w:val="23"/>
  </w:num>
  <w:num w:numId="9">
    <w:abstractNumId w:val="2"/>
  </w:num>
  <w:num w:numId="10">
    <w:abstractNumId w:val="12"/>
  </w:num>
  <w:num w:numId="11">
    <w:abstractNumId w:val="16"/>
  </w:num>
  <w:num w:numId="12">
    <w:abstractNumId w:val="17"/>
  </w:num>
  <w:num w:numId="13">
    <w:abstractNumId w:val="15"/>
  </w:num>
  <w:num w:numId="14">
    <w:abstractNumId w:val="13"/>
  </w:num>
  <w:num w:numId="15">
    <w:abstractNumId w:val="14"/>
  </w:num>
  <w:num w:numId="16">
    <w:abstractNumId w:val="4"/>
  </w:num>
  <w:num w:numId="17">
    <w:abstractNumId w:val="9"/>
  </w:num>
  <w:num w:numId="18">
    <w:abstractNumId w:val="8"/>
  </w:num>
  <w:num w:numId="19">
    <w:abstractNumId w:val="22"/>
  </w:num>
  <w:num w:numId="20">
    <w:abstractNumId w:val="20"/>
  </w:num>
  <w:num w:numId="21">
    <w:abstractNumId w:val="5"/>
  </w:num>
  <w:num w:numId="22">
    <w:abstractNumId w:val="30"/>
  </w:num>
  <w:num w:numId="23">
    <w:abstractNumId w:val="25"/>
  </w:num>
  <w:num w:numId="24">
    <w:abstractNumId w:val="33"/>
  </w:num>
  <w:num w:numId="25">
    <w:abstractNumId w:val="19"/>
  </w:num>
  <w:num w:numId="26">
    <w:abstractNumId w:val="28"/>
  </w:num>
  <w:num w:numId="27">
    <w:abstractNumId w:val="18"/>
  </w:num>
  <w:num w:numId="28">
    <w:abstractNumId w:val="29"/>
  </w:num>
  <w:num w:numId="29">
    <w:abstractNumId w:val="11"/>
  </w:num>
  <w:num w:numId="30">
    <w:abstractNumId w:val="34"/>
  </w:num>
  <w:num w:numId="31">
    <w:abstractNumId w:val="0"/>
  </w:num>
  <w:num w:numId="32">
    <w:abstractNumId w:val="31"/>
  </w:num>
  <w:num w:numId="33">
    <w:abstractNumId w:val="3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68"/>
    <w:rsid w:val="00001C57"/>
    <w:rsid w:val="00002F54"/>
    <w:rsid w:val="00005888"/>
    <w:rsid w:val="00006BF0"/>
    <w:rsid w:val="00006D1A"/>
    <w:rsid w:val="00006FEF"/>
    <w:rsid w:val="0000779D"/>
    <w:rsid w:val="00007FD0"/>
    <w:rsid w:val="00012871"/>
    <w:rsid w:val="00013CE7"/>
    <w:rsid w:val="00014EED"/>
    <w:rsid w:val="00015E0A"/>
    <w:rsid w:val="000169A1"/>
    <w:rsid w:val="00017122"/>
    <w:rsid w:val="000218C2"/>
    <w:rsid w:val="0002275F"/>
    <w:rsid w:val="00030BE0"/>
    <w:rsid w:val="0003326F"/>
    <w:rsid w:val="000340E9"/>
    <w:rsid w:val="0003787D"/>
    <w:rsid w:val="00042071"/>
    <w:rsid w:val="000455E7"/>
    <w:rsid w:val="00045CD7"/>
    <w:rsid w:val="0004699E"/>
    <w:rsid w:val="00046BCE"/>
    <w:rsid w:val="00047FA1"/>
    <w:rsid w:val="00050E96"/>
    <w:rsid w:val="00051848"/>
    <w:rsid w:val="00051D0F"/>
    <w:rsid w:val="000523A9"/>
    <w:rsid w:val="00052AD1"/>
    <w:rsid w:val="00054F5F"/>
    <w:rsid w:val="00055CC3"/>
    <w:rsid w:val="00055FB7"/>
    <w:rsid w:val="000605AA"/>
    <w:rsid w:val="0006082C"/>
    <w:rsid w:val="0006261E"/>
    <w:rsid w:val="000630B7"/>
    <w:rsid w:val="00063180"/>
    <w:rsid w:val="00065109"/>
    <w:rsid w:val="00065324"/>
    <w:rsid w:val="0006555C"/>
    <w:rsid w:val="00067514"/>
    <w:rsid w:val="0006798D"/>
    <w:rsid w:val="00067A6E"/>
    <w:rsid w:val="00072201"/>
    <w:rsid w:val="00073F04"/>
    <w:rsid w:val="00074C36"/>
    <w:rsid w:val="00077C1D"/>
    <w:rsid w:val="00080439"/>
    <w:rsid w:val="00081FD9"/>
    <w:rsid w:val="00083D72"/>
    <w:rsid w:val="00085C18"/>
    <w:rsid w:val="00086FB3"/>
    <w:rsid w:val="00087A3A"/>
    <w:rsid w:val="000919EE"/>
    <w:rsid w:val="00091B40"/>
    <w:rsid w:val="00092B67"/>
    <w:rsid w:val="00093BF5"/>
    <w:rsid w:val="00094483"/>
    <w:rsid w:val="00094B8E"/>
    <w:rsid w:val="00095CD7"/>
    <w:rsid w:val="000969B7"/>
    <w:rsid w:val="000A0833"/>
    <w:rsid w:val="000A1B02"/>
    <w:rsid w:val="000A1C93"/>
    <w:rsid w:val="000A4136"/>
    <w:rsid w:val="000A599E"/>
    <w:rsid w:val="000A5A77"/>
    <w:rsid w:val="000A7E66"/>
    <w:rsid w:val="000B0168"/>
    <w:rsid w:val="000B0391"/>
    <w:rsid w:val="000B200D"/>
    <w:rsid w:val="000B25D7"/>
    <w:rsid w:val="000B523D"/>
    <w:rsid w:val="000B690A"/>
    <w:rsid w:val="000B769F"/>
    <w:rsid w:val="000C1EF6"/>
    <w:rsid w:val="000C400B"/>
    <w:rsid w:val="000C712B"/>
    <w:rsid w:val="000D0573"/>
    <w:rsid w:val="000D060D"/>
    <w:rsid w:val="000D1BBE"/>
    <w:rsid w:val="000D1FE7"/>
    <w:rsid w:val="000D3E33"/>
    <w:rsid w:val="000D4F29"/>
    <w:rsid w:val="000D6501"/>
    <w:rsid w:val="000D66D3"/>
    <w:rsid w:val="000D72AE"/>
    <w:rsid w:val="000E1379"/>
    <w:rsid w:val="000E35E5"/>
    <w:rsid w:val="000E3F32"/>
    <w:rsid w:val="000E4104"/>
    <w:rsid w:val="000E489C"/>
    <w:rsid w:val="000E5968"/>
    <w:rsid w:val="000E5C7C"/>
    <w:rsid w:val="000E6434"/>
    <w:rsid w:val="000E7573"/>
    <w:rsid w:val="000F0579"/>
    <w:rsid w:val="000F16E9"/>
    <w:rsid w:val="000F20CB"/>
    <w:rsid w:val="000F3B9D"/>
    <w:rsid w:val="000F42F3"/>
    <w:rsid w:val="000F54E6"/>
    <w:rsid w:val="000F74F3"/>
    <w:rsid w:val="001002CB"/>
    <w:rsid w:val="001013C6"/>
    <w:rsid w:val="00102CC9"/>
    <w:rsid w:val="00105231"/>
    <w:rsid w:val="00105A13"/>
    <w:rsid w:val="00105AA9"/>
    <w:rsid w:val="00106DFD"/>
    <w:rsid w:val="00107B6A"/>
    <w:rsid w:val="001101B6"/>
    <w:rsid w:val="00111239"/>
    <w:rsid w:val="00115278"/>
    <w:rsid w:val="00115353"/>
    <w:rsid w:val="001153E0"/>
    <w:rsid w:val="00116A68"/>
    <w:rsid w:val="001179B1"/>
    <w:rsid w:val="00117A8A"/>
    <w:rsid w:val="00120C65"/>
    <w:rsid w:val="001216FE"/>
    <w:rsid w:val="00121B40"/>
    <w:rsid w:val="00122246"/>
    <w:rsid w:val="00122711"/>
    <w:rsid w:val="0012285D"/>
    <w:rsid w:val="00122E0C"/>
    <w:rsid w:val="00123254"/>
    <w:rsid w:val="00124BF3"/>
    <w:rsid w:val="00125CBE"/>
    <w:rsid w:val="00126865"/>
    <w:rsid w:val="001276E1"/>
    <w:rsid w:val="00127F6E"/>
    <w:rsid w:val="0013212F"/>
    <w:rsid w:val="00132BEA"/>
    <w:rsid w:val="00133CD9"/>
    <w:rsid w:val="001345D3"/>
    <w:rsid w:val="0013561D"/>
    <w:rsid w:val="00135702"/>
    <w:rsid w:val="001377BB"/>
    <w:rsid w:val="0014188A"/>
    <w:rsid w:val="00141EC1"/>
    <w:rsid w:val="0014242F"/>
    <w:rsid w:val="00146400"/>
    <w:rsid w:val="00147B0B"/>
    <w:rsid w:val="00147F91"/>
    <w:rsid w:val="00150638"/>
    <w:rsid w:val="00150920"/>
    <w:rsid w:val="0015125B"/>
    <w:rsid w:val="0015159E"/>
    <w:rsid w:val="001540D3"/>
    <w:rsid w:val="00154906"/>
    <w:rsid w:val="0015556C"/>
    <w:rsid w:val="00155D06"/>
    <w:rsid w:val="00157AB4"/>
    <w:rsid w:val="00161F94"/>
    <w:rsid w:val="00162178"/>
    <w:rsid w:val="0016298D"/>
    <w:rsid w:val="0016350F"/>
    <w:rsid w:val="00164052"/>
    <w:rsid w:val="00164461"/>
    <w:rsid w:val="00164DC1"/>
    <w:rsid w:val="001660FA"/>
    <w:rsid w:val="00166444"/>
    <w:rsid w:val="00166A12"/>
    <w:rsid w:val="00167E00"/>
    <w:rsid w:val="0017024E"/>
    <w:rsid w:val="0017178C"/>
    <w:rsid w:val="00171801"/>
    <w:rsid w:val="001718B4"/>
    <w:rsid w:val="001733DD"/>
    <w:rsid w:val="001734E0"/>
    <w:rsid w:val="00174995"/>
    <w:rsid w:val="00175445"/>
    <w:rsid w:val="00175FA3"/>
    <w:rsid w:val="0017665E"/>
    <w:rsid w:val="00181202"/>
    <w:rsid w:val="00181BCD"/>
    <w:rsid w:val="001857EC"/>
    <w:rsid w:val="0018794E"/>
    <w:rsid w:val="001901D5"/>
    <w:rsid w:val="001913FC"/>
    <w:rsid w:val="0019218B"/>
    <w:rsid w:val="0019583F"/>
    <w:rsid w:val="00196055"/>
    <w:rsid w:val="001A0FA4"/>
    <w:rsid w:val="001A1C56"/>
    <w:rsid w:val="001A24D1"/>
    <w:rsid w:val="001A2E6B"/>
    <w:rsid w:val="001A58ED"/>
    <w:rsid w:val="001B0262"/>
    <w:rsid w:val="001B2218"/>
    <w:rsid w:val="001B3029"/>
    <w:rsid w:val="001B327E"/>
    <w:rsid w:val="001B43E0"/>
    <w:rsid w:val="001B459C"/>
    <w:rsid w:val="001C019F"/>
    <w:rsid w:val="001C01CA"/>
    <w:rsid w:val="001C074F"/>
    <w:rsid w:val="001C22E9"/>
    <w:rsid w:val="001C2B42"/>
    <w:rsid w:val="001C2BA4"/>
    <w:rsid w:val="001C45C2"/>
    <w:rsid w:val="001C5ECB"/>
    <w:rsid w:val="001C6096"/>
    <w:rsid w:val="001D315B"/>
    <w:rsid w:val="001D3CDD"/>
    <w:rsid w:val="001D4B7C"/>
    <w:rsid w:val="001D4BBA"/>
    <w:rsid w:val="001D571A"/>
    <w:rsid w:val="001D68F7"/>
    <w:rsid w:val="001D6CCE"/>
    <w:rsid w:val="001D7DEF"/>
    <w:rsid w:val="001E12E7"/>
    <w:rsid w:val="001E1A3D"/>
    <w:rsid w:val="001E1DE4"/>
    <w:rsid w:val="001E218E"/>
    <w:rsid w:val="001E2878"/>
    <w:rsid w:val="001E3735"/>
    <w:rsid w:val="001E5A29"/>
    <w:rsid w:val="001E79B3"/>
    <w:rsid w:val="001F2F02"/>
    <w:rsid w:val="001F51BA"/>
    <w:rsid w:val="001F51F2"/>
    <w:rsid w:val="001F5298"/>
    <w:rsid w:val="00201363"/>
    <w:rsid w:val="002014FA"/>
    <w:rsid w:val="00201D82"/>
    <w:rsid w:val="002020C7"/>
    <w:rsid w:val="00203632"/>
    <w:rsid w:val="002041F6"/>
    <w:rsid w:val="00204981"/>
    <w:rsid w:val="00205D1B"/>
    <w:rsid w:val="0020684D"/>
    <w:rsid w:val="00207A7E"/>
    <w:rsid w:val="00212356"/>
    <w:rsid w:val="00212EFC"/>
    <w:rsid w:val="00214DEF"/>
    <w:rsid w:val="00215D1F"/>
    <w:rsid w:val="002160BB"/>
    <w:rsid w:val="00216C2F"/>
    <w:rsid w:val="0022186E"/>
    <w:rsid w:val="002261B9"/>
    <w:rsid w:val="00226647"/>
    <w:rsid w:val="002267A3"/>
    <w:rsid w:val="00226CEC"/>
    <w:rsid w:val="00226F0E"/>
    <w:rsid w:val="002312F0"/>
    <w:rsid w:val="00236296"/>
    <w:rsid w:val="00237340"/>
    <w:rsid w:val="00243063"/>
    <w:rsid w:val="00243378"/>
    <w:rsid w:val="002443E7"/>
    <w:rsid w:val="002449AF"/>
    <w:rsid w:val="002450B9"/>
    <w:rsid w:val="00245963"/>
    <w:rsid w:val="0024600C"/>
    <w:rsid w:val="00250D32"/>
    <w:rsid w:val="002519C2"/>
    <w:rsid w:val="00251D1F"/>
    <w:rsid w:val="002531B9"/>
    <w:rsid w:val="00254E87"/>
    <w:rsid w:val="00255105"/>
    <w:rsid w:val="00256C50"/>
    <w:rsid w:val="00257DC0"/>
    <w:rsid w:val="00261554"/>
    <w:rsid w:val="00263643"/>
    <w:rsid w:val="0026420D"/>
    <w:rsid w:val="00265E4C"/>
    <w:rsid w:val="00266A6A"/>
    <w:rsid w:val="002709DA"/>
    <w:rsid w:val="00270B97"/>
    <w:rsid w:val="00270FAC"/>
    <w:rsid w:val="00274A9F"/>
    <w:rsid w:val="002775F1"/>
    <w:rsid w:val="00280405"/>
    <w:rsid w:val="0028096A"/>
    <w:rsid w:val="00280B47"/>
    <w:rsid w:val="0028113E"/>
    <w:rsid w:val="00282314"/>
    <w:rsid w:val="00282A42"/>
    <w:rsid w:val="002848BD"/>
    <w:rsid w:val="00287FC3"/>
    <w:rsid w:val="0029075D"/>
    <w:rsid w:val="002908A4"/>
    <w:rsid w:val="00291103"/>
    <w:rsid w:val="00292660"/>
    <w:rsid w:val="00292FC2"/>
    <w:rsid w:val="00294E91"/>
    <w:rsid w:val="00295834"/>
    <w:rsid w:val="002972DA"/>
    <w:rsid w:val="002A10DF"/>
    <w:rsid w:val="002A4CAC"/>
    <w:rsid w:val="002B0957"/>
    <w:rsid w:val="002B2B65"/>
    <w:rsid w:val="002B2E78"/>
    <w:rsid w:val="002B35A2"/>
    <w:rsid w:val="002B42DD"/>
    <w:rsid w:val="002B4782"/>
    <w:rsid w:val="002B4C0E"/>
    <w:rsid w:val="002B5E77"/>
    <w:rsid w:val="002B7EB2"/>
    <w:rsid w:val="002C2496"/>
    <w:rsid w:val="002C26A3"/>
    <w:rsid w:val="002C2AF5"/>
    <w:rsid w:val="002C3492"/>
    <w:rsid w:val="002C384E"/>
    <w:rsid w:val="002C4D03"/>
    <w:rsid w:val="002C4D09"/>
    <w:rsid w:val="002C6C98"/>
    <w:rsid w:val="002D1E73"/>
    <w:rsid w:val="002D29CD"/>
    <w:rsid w:val="002D3BD0"/>
    <w:rsid w:val="002D4157"/>
    <w:rsid w:val="002D6FC7"/>
    <w:rsid w:val="002D7574"/>
    <w:rsid w:val="002E00DD"/>
    <w:rsid w:val="002E0EC3"/>
    <w:rsid w:val="002E24FF"/>
    <w:rsid w:val="002E38EB"/>
    <w:rsid w:val="002E3C0B"/>
    <w:rsid w:val="002E5DE7"/>
    <w:rsid w:val="002E7B69"/>
    <w:rsid w:val="002F0C04"/>
    <w:rsid w:val="002F0CEE"/>
    <w:rsid w:val="002F0E9D"/>
    <w:rsid w:val="002F24B7"/>
    <w:rsid w:val="002F2796"/>
    <w:rsid w:val="002F3CE7"/>
    <w:rsid w:val="002F3DDE"/>
    <w:rsid w:val="002F45E4"/>
    <w:rsid w:val="002F6367"/>
    <w:rsid w:val="002F6AB4"/>
    <w:rsid w:val="002F6F5A"/>
    <w:rsid w:val="002F770F"/>
    <w:rsid w:val="002F7A6E"/>
    <w:rsid w:val="003000D5"/>
    <w:rsid w:val="00301C9D"/>
    <w:rsid w:val="003060A0"/>
    <w:rsid w:val="003079D8"/>
    <w:rsid w:val="00307CBE"/>
    <w:rsid w:val="00310128"/>
    <w:rsid w:val="00310300"/>
    <w:rsid w:val="00310983"/>
    <w:rsid w:val="003116BB"/>
    <w:rsid w:val="003116F4"/>
    <w:rsid w:val="00311841"/>
    <w:rsid w:val="00312C03"/>
    <w:rsid w:val="00312FD1"/>
    <w:rsid w:val="00313559"/>
    <w:rsid w:val="003136E2"/>
    <w:rsid w:val="00313F5A"/>
    <w:rsid w:val="00314124"/>
    <w:rsid w:val="00314190"/>
    <w:rsid w:val="00317B43"/>
    <w:rsid w:val="00317D4A"/>
    <w:rsid w:val="00322469"/>
    <w:rsid w:val="003226C1"/>
    <w:rsid w:val="00322CE3"/>
    <w:rsid w:val="00327E6F"/>
    <w:rsid w:val="00327FE8"/>
    <w:rsid w:val="003354C0"/>
    <w:rsid w:val="00335688"/>
    <w:rsid w:val="0033591B"/>
    <w:rsid w:val="00337114"/>
    <w:rsid w:val="00340DE3"/>
    <w:rsid w:val="00341095"/>
    <w:rsid w:val="00342413"/>
    <w:rsid w:val="00343307"/>
    <w:rsid w:val="0034386E"/>
    <w:rsid w:val="0034473B"/>
    <w:rsid w:val="003452A8"/>
    <w:rsid w:val="00345703"/>
    <w:rsid w:val="00346359"/>
    <w:rsid w:val="00351562"/>
    <w:rsid w:val="00354068"/>
    <w:rsid w:val="00355482"/>
    <w:rsid w:val="00356153"/>
    <w:rsid w:val="00361671"/>
    <w:rsid w:val="0036230B"/>
    <w:rsid w:val="00367440"/>
    <w:rsid w:val="003677BC"/>
    <w:rsid w:val="00367840"/>
    <w:rsid w:val="003713DB"/>
    <w:rsid w:val="00371979"/>
    <w:rsid w:val="00373506"/>
    <w:rsid w:val="00373EB0"/>
    <w:rsid w:val="00373ED2"/>
    <w:rsid w:val="00375A45"/>
    <w:rsid w:val="00380185"/>
    <w:rsid w:val="003808CC"/>
    <w:rsid w:val="00381A61"/>
    <w:rsid w:val="00383404"/>
    <w:rsid w:val="003835AB"/>
    <w:rsid w:val="003841D9"/>
    <w:rsid w:val="00384CC9"/>
    <w:rsid w:val="00385605"/>
    <w:rsid w:val="00386A57"/>
    <w:rsid w:val="00386FED"/>
    <w:rsid w:val="00387454"/>
    <w:rsid w:val="00387914"/>
    <w:rsid w:val="00390306"/>
    <w:rsid w:val="00390BD9"/>
    <w:rsid w:val="0039180F"/>
    <w:rsid w:val="00393C17"/>
    <w:rsid w:val="003A0172"/>
    <w:rsid w:val="003A213C"/>
    <w:rsid w:val="003A36C9"/>
    <w:rsid w:val="003A387F"/>
    <w:rsid w:val="003A60CF"/>
    <w:rsid w:val="003A6C6D"/>
    <w:rsid w:val="003A71A7"/>
    <w:rsid w:val="003B0B58"/>
    <w:rsid w:val="003B2EED"/>
    <w:rsid w:val="003B6BB1"/>
    <w:rsid w:val="003B70DA"/>
    <w:rsid w:val="003B7F0E"/>
    <w:rsid w:val="003C0C5E"/>
    <w:rsid w:val="003C0E18"/>
    <w:rsid w:val="003C13BF"/>
    <w:rsid w:val="003C1A13"/>
    <w:rsid w:val="003C50A3"/>
    <w:rsid w:val="003C50F7"/>
    <w:rsid w:val="003C639E"/>
    <w:rsid w:val="003C6FB8"/>
    <w:rsid w:val="003C7D67"/>
    <w:rsid w:val="003D0357"/>
    <w:rsid w:val="003D08F7"/>
    <w:rsid w:val="003D1895"/>
    <w:rsid w:val="003D42B5"/>
    <w:rsid w:val="003D52F7"/>
    <w:rsid w:val="003D57AE"/>
    <w:rsid w:val="003D6207"/>
    <w:rsid w:val="003E333F"/>
    <w:rsid w:val="003E3DBE"/>
    <w:rsid w:val="003E4E73"/>
    <w:rsid w:val="003E7372"/>
    <w:rsid w:val="003E756A"/>
    <w:rsid w:val="003F0793"/>
    <w:rsid w:val="003F2B4A"/>
    <w:rsid w:val="003F3279"/>
    <w:rsid w:val="003F3ED8"/>
    <w:rsid w:val="003F4550"/>
    <w:rsid w:val="003F4852"/>
    <w:rsid w:val="003F48B9"/>
    <w:rsid w:val="003F78A6"/>
    <w:rsid w:val="003F7CE4"/>
    <w:rsid w:val="0040066E"/>
    <w:rsid w:val="004010E8"/>
    <w:rsid w:val="00401710"/>
    <w:rsid w:val="004023E0"/>
    <w:rsid w:val="004036BB"/>
    <w:rsid w:val="004076F5"/>
    <w:rsid w:val="00412ADE"/>
    <w:rsid w:val="00412FC0"/>
    <w:rsid w:val="00413107"/>
    <w:rsid w:val="00413845"/>
    <w:rsid w:val="00413870"/>
    <w:rsid w:val="004146D7"/>
    <w:rsid w:val="00415C94"/>
    <w:rsid w:val="004162E4"/>
    <w:rsid w:val="00416DA6"/>
    <w:rsid w:val="0041725F"/>
    <w:rsid w:val="00417801"/>
    <w:rsid w:val="00420DD6"/>
    <w:rsid w:val="00424B98"/>
    <w:rsid w:val="0042529B"/>
    <w:rsid w:val="00425622"/>
    <w:rsid w:val="00426133"/>
    <w:rsid w:val="00430C6F"/>
    <w:rsid w:val="004326D6"/>
    <w:rsid w:val="004356A4"/>
    <w:rsid w:val="00437BEF"/>
    <w:rsid w:val="0044055C"/>
    <w:rsid w:val="00440A2B"/>
    <w:rsid w:val="00441415"/>
    <w:rsid w:val="004420BC"/>
    <w:rsid w:val="00443E20"/>
    <w:rsid w:val="0044472C"/>
    <w:rsid w:val="00451BDD"/>
    <w:rsid w:val="00452649"/>
    <w:rsid w:val="00452C40"/>
    <w:rsid w:val="00452ED6"/>
    <w:rsid w:val="0045517D"/>
    <w:rsid w:val="004555D7"/>
    <w:rsid w:val="0045565C"/>
    <w:rsid w:val="004572D4"/>
    <w:rsid w:val="0045760D"/>
    <w:rsid w:val="00457D2A"/>
    <w:rsid w:val="00460636"/>
    <w:rsid w:val="00463665"/>
    <w:rsid w:val="0046369F"/>
    <w:rsid w:val="0046447E"/>
    <w:rsid w:val="004657C1"/>
    <w:rsid w:val="00467265"/>
    <w:rsid w:val="00467CFA"/>
    <w:rsid w:val="0047266F"/>
    <w:rsid w:val="00472965"/>
    <w:rsid w:val="004737F3"/>
    <w:rsid w:val="00474A49"/>
    <w:rsid w:val="004775F0"/>
    <w:rsid w:val="004800B4"/>
    <w:rsid w:val="004802B6"/>
    <w:rsid w:val="00482151"/>
    <w:rsid w:val="00482C0F"/>
    <w:rsid w:val="004837E1"/>
    <w:rsid w:val="00483809"/>
    <w:rsid w:val="00483C1B"/>
    <w:rsid w:val="004850C9"/>
    <w:rsid w:val="0048660E"/>
    <w:rsid w:val="004868F5"/>
    <w:rsid w:val="0049077D"/>
    <w:rsid w:val="00491616"/>
    <w:rsid w:val="004918BF"/>
    <w:rsid w:val="00491C64"/>
    <w:rsid w:val="0049249A"/>
    <w:rsid w:val="00492777"/>
    <w:rsid w:val="00492CC1"/>
    <w:rsid w:val="004939B1"/>
    <w:rsid w:val="0049427E"/>
    <w:rsid w:val="00494296"/>
    <w:rsid w:val="00494428"/>
    <w:rsid w:val="00494C76"/>
    <w:rsid w:val="00495926"/>
    <w:rsid w:val="00495F77"/>
    <w:rsid w:val="004970CD"/>
    <w:rsid w:val="004A2EF4"/>
    <w:rsid w:val="004A5068"/>
    <w:rsid w:val="004A5AB2"/>
    <w:rsid w:val="004A60C1"/>
    <w:rsid w:val="004A794B"/>
    <w:rsid w:val="004B003E"/>
    <w:rsid w:val="004B0C58"/>
    <w:rsid w:val="004B0D05"/>
    <w:rsid w:val="004B15EA"/>
    <w:rsid w:val="004B25B3"/>
    <w:rsid w:val="004B2D4C"/>
    <w:rsid w:val="004B2DA7"/>
    <w:rsid w:val="004B34BE"/>
    <w:rsid w:val="004B3CDE"/>
    <w:rsid w:val="004B5C22"/>
    <w:rsid w:val="004C09D5"/>
    <w:rsid w:val="004D0810"/>
    <w:rsid w:val="004D2234"/>
    <w:rsid w:val="004D378E"/>
    <w:rsid w:val="004D39C1"/>
    <w:rsid w:val="004D46F1"/>
    <w:rsid w:val="004D51E0"/>
    <w:rsid w:val="004E1ACD"/>
    <w:rsid w:val="004E22C5"/>
    <w:rsid w:val="004E2718"/>
    <w:rsid w:val="004E2CBA"/>
    <w:rsid w:val="004E2D28"/>
    <w:rsid w:val="004E5ED9"/>
    <w:rsid w:val="004E7219"/>
    <w:rsid w:val="004F0A1D"/>
    <w:rsid w:val="004F0C5C"/>
    <w:rsid w:val="004F1889"/>
    <w:rsid w:val="004F54D5"/>
    <w:rsid w:val="004F7009"/>
    <w:rsid w:val="00501C3A"/>
    <w:rsid w:val="00503F91"/>
    <w:rsid w:val="00504F61"/>
    <w:rsid w:val="00507237"/>
    <w:rsid w:val="00507611"/>
    <w:rsid w:val="00512CE8"/>
    <w:rsid w:val="00513007"/>
    <w:rsid w:val="0051352D"/>
    <w:rsid w:val="00514130"/>
    <w:rsid w:val="0051539D"/>
    <w:rsid w:val="005158DE"/>
    <w:rsid w:val="00515935"/>
    <w:rsid w:val="00516B4E"/>
    <w:rsid w:val="00517161"/>
    <w:rsid w:val="00521F5F"/>
    <w:rsid w:val="005221D6"/>
    <w:rsid w:val="00523DEC"/>
    <w:rsid w:val="005259F0"/>
    <w:rsid w:val="00526CF6"/>
    <w:rsid w:val="00531443"/>
    <w:rsid w:val="005322A6"/>
    <w:rsid w:val="005336A1"/>
    <w:rsid w:val="00535541"/>
    <w:rsid w:val="00535832"/>
    <w:rsid w:val="00537D74"/>
    <w:rsid w:val="00540843"/>
    <w:rsid w:val="005415D5"/>
    <w:rsid w:val="00544004"/>
    <w:rsid w:val="0054428E"/>
    <w:rsid w:val="00544418"/>
    <w:rsid w:val="00544E4E"/>
    <w:rsid w:val="00545877"/>
    <w:rsid w:val="00545995"/>
    <w:rsid w:val="005522EA"/>
    <w:rsid w:val="0055496A"/>
    <w:rsid w:val="00555419"/>
    <w:rsid w:val="005569BD"/>
    <w:rsid w:val="00557987"/>
    <w:rsid w:val="005603D6"/>
    <w:rsid w:val="00560CCB"/>
    <w:rsid w:val="0056164E"/>
    <w:rsid w:val="00562276"/>
    <w:rsid w:val="00562F70"/>
    <w:rsid w:val="00566948"/>
    <w:rsid w:val="005707E9"/>
    <w:rsid w:val="00570D04"/>
    <w:rsid w:val="0057220B"/>
    <w:rsid w:val="005727F6"/>
    <w:rsid w:val="00573E93"/>
    <w:rsid w:val="005762D5"/>
    <w:rsid w:val="00577AA9"/>
    <w:rsid w:val="0058018E"/>
    <w:rsid w:val="00580E29"/>
    <w:rsid w:val="005821B4"/>
    <w:rsid w:val="005844EF"/>
    <w:rsid w:val="00584EC9"/>
    <w:rsid w:val="00585C8F"/>
    <w:rsid w:val="005913D4"/>
    <w:rsid w:val="00591423"/>
    <w:rsid w:val="00591EC9"/>
    <w:rsid w:val="005921BD"/>
    <w:rsid w:val="005921FC"/>
    <w:rsid w:val="005923EA"/>
    <w:rsid w:val="00593FE0"/>
    <w:rsid w:val="0059475E"/>
    <w:rsid w:val="00594846"/>
    <w:rsid w:val="00597884"/>
    <w:rsid w:val="005A18C5"/>
    <w:rsid w:val="005A19DC"/>
    <w:rsid w:val="005A1EB5"/>
    <w:rsid w:val="005A2873"/>
    <w:rsid w:val="005A3FBD"/>
    <w:rsid w:val="005A5D1A"/>
    <w:rsid w:val="005A6B49"/>
    <w:rsid w:val="005B0AAA"/>
    <w:rsid w:val="005B39F2"/>
    <w:rsid w:val="005B43AD"/>
    <w:rsid w:val="005B45FF"/>
    <w:rsid w:val="005B5BA1"/>
    <w:rsid w:val="005B6036"/>
    <w:rsid w:val="005B6546"/>
    <w:rsid w:val="005B778B"/>
    <w:rsid w:val="005C0192"/>
    <w:rsid w:val="005C025F"/>
    <w:rsid w:val="005C07AD"/>
    <w:rsid w:val="005C1D7F"/>
    <w:rsid w:val="005C44F0"/>
    <w:rsid w:val="005C46F8"/>
    <w:rsid w:val="005C575F"/>
    <w:rsid w:val="005C5B53"/>
    <w:rsid w:val="005C63F6"/>
    <w:rsid w:val="005C7E3A"/>
    <w:rsid w:val="005D057C"/>
    <w:rsid w:val="005D108A"/>
    <w:rsid w:val="005D1A2C"/>
    <w:rsid w:val="005D5008"/>
    <w:rsid w:val="005D5B8C"/>
    <w:rsid w:val="005D62A6"/>
    <w:rsid w:val="005D69B5"/>
    <w:rsid w:val="005D7296"/>
    <w:rsid w:val="005D75C9"/>
    <w:rsid w:val="005E0E52"/>
    <w:rsid w:val="005E1F76"/>
    <w:rsid w:val="005E24ED"/>
    <w:rsid w:val="005E3398"/>
    <w:rsid w:val="005E3597"/>
    <w:rsid w:val="005E5DE9"/>
    <w:rsid w:val="005E5F98"/>
    <w:rsid w:val="005F0912"/>
    <w:rsid w:val="005F1147"/>
    <w:rsid w:val="005F2370"/>
    <w:rsid w:val="005F306B"/>
    <w:rsid w:val="005F3769"/>
    <w:rsid w:val="005F52A6"/>
    <w:rsid w:val="005F546A"/>
    <w:rsid w:val="005F773C"/>
    <w:rsid w:val="00601705"/>
    <w:rsid w:val="006020DC"/>
    <w:rsid w:val="00602B78"/>
    <w:rsid w:val="00603926"/>
    <w:rsid w:val="0060659C"/>
    <w:rsid w:val="00610176"/>
    <w:rsid w:val="006112DF"/>
    <w:rsid w:val="00612AAC"/>
    <w:rsid w:val="006131C3"/>
    <w:rsid w:val="00613E2D"/>
    <w:rsid w:val="00613EB0"/>
    <w:rsid w:val="00614354"/>
    <w:rsid w:val="00620CA6"/>
    <w:rsid w:val="00621715"/>
    <w:rsid w:val="00621831"/>
    <w:rsid w:val="006224F2"/>
    <w:rsid w:val="00625F94"/>
    <w:rsid w:val="0062601A"/>
    <w:rsid w:val="00626C1D"/>
    <w:rsid w:val="00627AE2"/>
    <w:rsid w:val="00627B50"/>
    <w:rsid w:val="006300CD"/>
    <w:rsid w:val="006317E5"/>
    <w:rsid w:val="00632745"/>
    <w:rsid w:val="00635A39"/>
    <w:rsid w:val="006364D1"/>
    <w:rsid w:val="00636AE9"/>
    <w:rsid w:val="00642606"/>
    <w:rsid w:val="00642611"/>
    <w:rsid w:val="006430C6"/>
    <w:rsid w:val="00644E63"/>
    <w:rsid w:val="00646875"/>
    <w:rsid w:val="006510B4"/>
    <w:rsid w:val="00651491"/>
    <w:rsid w:val="00651718"/>
    <w:rsid w:val="00652ABA"/>
    <w:rsid w:val="00653F11"/>
    <w:rsid w:val="00653F13"/>
    <w:rsid w:val="00655168"/>
    <w:rsid w:val="00656058"/>
    <w:rsid w:val="00656AD3"/>
    <w:rsid w:val="00656CC0"/>
    <w:rsid w:val="00657E48"/>
    <w:rsid w:val="00660B4B"/>
    <w:rsid w:val="0066155F"/>
    <w:rsid w:val="006617AF"/>
    <w:rsid w:val="00663828"/>
    <w:rsid w:val="006644E9"/>
    <w:rsid w:val="00664A76"/>
    <w:rsid w:val="00665BFB"/>
    <w:rsid w:val="00665D92"/>
    <w:rsid w:val="00667463"/>
    <w:rsid w:val="00667F2F"/>
    <w:rsid w:val="0067191F"/>
    <w:rsid w:val="00671A72"/>
    <w:rsid w:val="006720A2"/>
    <w:rsid w:val="0067260E"/>
    <w:rsid w:val="00674E56"/>
    <w:rsid w:val="00677D30"/>
    <w:rsid w:val="006800D7"/>
    <w:rsid w:val="00683B84"/>
    <w:rsid w:val="00683CA7"/>
    <w:rsid w:val="00684A50"/>
    <w:rsid w:val="00684E26"/>
    <w:rsid w:val="00684ED1"/>
    <w:rsid w:val="006867C9"/>
    <w:rsid w:val="006871C0"/>
    <w:rsid w:val="00687911"/>
    <w:rsid w:val="00687C2C"/>
    <w:rsid w:val="0069037E"/>
    <w:rsid w:val="0069180F"/>
    <w:rsid w:val="006921BC"/>
    <w:rsid w:val="0069375B"/>
    <w:rsid w:val="00693BA4"/>
    <w:rsid w:val="006946A8"/>
    <w:rsid w:val="00694874"/>
    <w:rsid w:val="006951F9"/>
    <w:rsid w:val="00695652"/>
    <w:rsid w:val="006969F7"/>
    <w:rsid w:val="006A08A0"/>
    <w:rsid w:val="006A33DC"/>
    <w:rsid w:val="006A3E26"/>
    <w:rsid w:val="006B02AE"/>
    <w:rsid w:val="006B31E3"/>
    <w:rsid w:val="006C089A"/>
    <w:rsid w:val="006C0C33"/>
    <w:rsid w:val="006C472D"/>
    <w:rsid w:val="006C4FDF"/>
    <w:rsid w:val="006C7D40"/>
    <w:rsid w:val="006C7FFD"/>
    <w:rsid w:val="006D0896"/>
    <w:rsid w:val="006D11E8"/>
    <w:rsid w:val="006D5DD8"/>
    <w:rsid w:val="006D5EF0"/>
    <w:rsid w:val="006D644E"/>
    <w:rsid w:val="006D6BA7"/>
    <w:rsid w:val="006D7D01"/>
    <w:rsid w:val="006D7D56"/>
    <w:rsid w:val="006E0712"/>
    <w:rsid w:val="006E418B"/>
    <w:rsid w:val="006E460C"/>
    <w:rsid w:val="006E468A"/>
    <w:rsid w:val="006E4A8A"/>
    <w:rsid w:val="006E571E"/>
    <w:rsid w:val="006E5979"/>
    <w:rsid w:val="006F0827"/>
    <w:rsid w:val="006F3B54"/>
    <w:rsid w:val="006F3CBA"/>
    <w:rsid w:val="006F4302"/>
    <w:rsid w:val="006F4D2D"/>
    <w:rsid w:val="006F65C7"/>
    <w:rsid w:val="006F78FD"/>
    <w:rsid w:val="007030AD"/>
    <w:rsid w:val="0070690A"/>
    <w:rsid w:val="0070722D"/>
    <w:rsid w:val="00707457"/>
    <w:rsid w:val="00707F5D"/>
    <w:rsid w:val="00710196"/>
    <w:rsid w:val="007131D8"/>
    <w:rsid w:val="00713D0D"/>
    <w:rsid w:val="007158C4"/>
    <w:rsid w:val="00715A10"/>
    <w:rsid w:val="00715B8F"/>
    <w:rsid w:val="0071733F"/>
    <w:rsid w:val="00717C7B"/>
    <w:rsid w:val="00721351"/>
    <w:rsid w:val="00721E4E"/>
    <w:rsid w:val="007243C1"/>
    <w:rsid w:val="00725E83"/>
    <w:rsid w:val="00731ABD"/>
    <w:rsid w:val="00731B1F"/>
    <w:rsid w:val="00733255"/>
    <w:rsid w:val="00734036"/>
    <w:rsid w:val="00734C59"/>
    <w:rsid w:val="00735D05"/>
    <w:rsid w:val="00737AA5"/>
    <w:rsid w:val="007409B8"/>
    <w:rsid w:val="0074402C"/>
    <w:rsid w:val="007443C8"/>
    <w:rsid w:val="00744DAD"/>
    <w:rsid w:val="007459F0"/>
    <w:rsid w:val="00750AFF"/>
    <w:rsid w:val="007510B6"/>
    <w:rsid w:val="00751A4C"/>
    <w:rsid w:val="00751E0D"/>
    <w:rsid w:val="00751F2A"/>
    <w:rsid w:val="00753207"/>
    <w:rsid w:val="00753269"/>
    <w:rsid w:val="007553B4"/>
    <w:rsid w:val="00755653"/>
    <w:rsid w:val="00755BB2"/>
    <w:rsid w:val="00755D68"/>
    <w:rsid w:val="007575D0"/>
    <w:rsid w:val="007607F0"/>
    <w:rsid w:val="007616B6"/>
    <w:rsid w:val="00761878"/>
    <w:rsid w:val="00761BC1"/>
    <w:rsid w:val="00762136"/>
    <w:rsid w:val="00765C0E"/>
    <w:rsid w:val="00766981"/>
    <w:rsid w:val="00767141"/>
    <w:rsid w:val="00767973"/>
    <w:rsid w:val="00767B82"/>
    <w:rsid w:val="007716B1"/>
    <w:rsid w:val="00771EF0"/>
    <w:rsid w:val="00771FA1"/>
    <w:rsid w:val="00775CCD"/>
    <w:rsid w:val="0077788D"/>
    <w:rsid w:val="00777B42"/>
    <w:rsid w:val="00777DA8"/>
    <w:rsid w:val="0078082F"/>
    <w:rsid w:val="00780E86"/>
    <w:rsid w:val="00781162"/>
    <w:rsid w:val="0078315C"/>
    <w:rsid w:val="00786F00"/>
    <w:rsid w:val="0078781D"/>
    <w:rsid w:val="00790A77"/>
    <w:rsid w:val="00790B9F"/>
    <w:rsid w:val="00791BC8"/>
    <w:rsid w:val="00792220"/>
    <w:rsid w:val="00793BA6"/>
    <w:rsid w:val="00793CD1"/>
    <w:rsid w:val="00794442"/>
    <w:rsid w:val="00794F84"/>
    <w:rsid w:val="007959E1"/>
    <w:rsid w:val="007A0BD1"/>
    <w:rsid w:val="007A3FEA"/>
    <w:rsid w:val="007A47D2"/>
    <w:rsid w:val="007A6835"/>
    <w:rsid w:val="007A6F21"/>
    <w:rsid w:val="007A7296"/>
    <w:rsid w:val="007B0927"/>
    <w:rsid w:val="007B3A1F"/>
    <w:rsid w:val="007B4112"/>
    <w:rsid w:val="007B47D7"/>
    <w:rsid w:val="007B63ED"/>
    <w:rsid w:val="007C2D6F"/>
    <w:rsid w:val="007C3C72"/>
    <w:rsid w:val="007C471E"/>
    <w:rsid w:val="007C478C"/>
    <w:rsid w:val="007C52FF"/>
    <w:rsid w:val="007C55AD"/>
    <w:rsid w:val="007C5A52"/>
    <w:rsid w:val="007C6A00"/>
    <w:rsid w:val="007C6D00"/>
    <w:rsid w:val="007C79BC"/>
    <w:rsid w:val="007D036F"/>
    <w:rsid w:val="007D0892"/>
    <w:rsid w:val="007D523B"/>
    <w:rsid w:val="007D66B4"/>
    <w:rsid w:val="007D7E02"/>
    <w:rsid w:val="007E2074"/>
    <w:rsid w:val="007E25BA"/>
    <w:rsid w:val="007E28BF"/>
    <w:rsid w:val="007E2B8E"/>
    <w:rsid w:val="007E3511"/>
    <w:rsid w:val="007E507F"/>
    <w:rsid w:val="007E5B5F"/>
    <w:rsid w:val="007E5D23"/>
    <w:rsid w:val="007E71F1"/>
    <w:rsid w:val="007F0297"/>
    <w:rsid w:val="007F1787"/>
    <w:rsid w:val="007F1A40"/>
    <w:rsid w:val="007F22EA"/>
    <w:rsid w:val="007F2DDF"/>
    <w:rsid w:val="007F36ED"/>
    <w:rsid w:val="007F388B"/>
    <w:rsid w:val="007F3B66"/>
    <w:rsid w:val="007F3DB3"/>
    <w:rsid w:val="007F6368"/>
    <w:rsid w:val="007F7750"/>
    <w:rsid w:val="007F7B14"/>
    <w:rsid w:val="008012E1"/>
    <w:rsid w:val="00801408"/>
    <w:rsid w:val="008019B2"/>
    <w:rsid w:val="00801E66"/>
    <w:rsid w:val="00803A56"/>
    <w:rsid w:val="00804D2A"/>
    <w:rsid w:val="00804FA7"/>
    <w:rsid w:val="00806B57"/>
    <w:rsid w:val="00806F72"/>
    <w:rsid w:val="0080733A"/>
    <w:rsid w:val="00810816"/>
    <w:rsid w:val="00811B65"/>
    <w:rsid w:val="00812113"/>
    <w:rsid w:val="008123B6"/>
    <w:rsid w:val="008124A1"/>
    <w:rsid w:val="008130BC"/>
    <w:rsid w:val="00814720"/>
    <w:rsid w:val="008149F8"/>
    <w:rsid w:val="00814E11"/>
    <w:rsid w:val="008160FF"/>
    <w:rsid w:val="008173AC"/>
    <w:rsid w:val="00821D25"/>
    <w:rsid w:val="008234F0"/>
    <w:rsid w:val="008235CA"/>
    <w:rsid w:val="0082702E"/>
    <w:rsid w:val="0082734B"/>
    <w:rsid w:val="008279C8"/>
    <w:rsid w:val="00827FF7"/>
    <w:rsid w:val="00830834"/>
    <w:rsid w:val="0083228E"/>
    <w:rsid w:val="00832AC9"/>
    <w:rsid w:val="00833B9D"/>
    <w:rsid w:val="00834112"/>
    <w:rsid w:val="008364CA"/>
    <w:rsid w:val="00836D4E"/>
    <w:rsid w:val="0083741B"/>
    <w:rsid w:val="008375D2"/>
    <w:rsid w:val="0083791B"/>
    <w:rsid w:val="00837D5C"/>
    <w:rsid w:val="00837DF2"/>
    <w:rsid w:val="0084169F"/>
    <w:rsid w:val="00846334"/>
    <w:rsid w:val="00847828"/>
    <w:rsid w:val="00847E83"/>
    <w:rsid w:val="00850327"/>
    <w:rsid w:val="008522E8"/>
    <w:rsid w:val="00852C61"/>
    <w:rsid w:val="00853BCB"/>
    <w:rsid w:val="008559C0"/>
    <w:rsid w:val="008566FC"/>
    <w:rsid w:val="00860290"/>
    <w:rsid w:val="00860A04"/>
    <w:rsid w:val="00860C64"/>
    <w:rsid w:val="0086142B"/>
    <w:rsid w:val="00861818"/>
    <w:rsid w:val="00865ECE"/>
    <w:rsid w:val="00867BA4"/>
    <w:rsid w:val="00871C70"/>
    <w:rsid w:val="00872722"/>
    <w:rsid w:val="008727FD"/>
    <w:rsid w:val="0087282B"/>
    <w:rsid w:val="00872D75"/>
    <w:rsid w:val="00873C67"/>
    <w:rsid w:val="00873E7D"/>
    <w:rsid w:val="00874E69"/>
    <w:rsid w:val="00875012"/>
    <w:rsid w:val="00875296"/>
    <w:rsid w:val="008753E2"/>
    <w:rsid w:val="00877A31"/>
    <w:rsid w:val="00882497"/>
    <w:rsid w:val="00882854"/>
    <w:rsid w:val="00883FEC"/>
    <w:rsid w:val="0088498C"/>
    <w:rsid w:val="00885ED8"/>
    <w:rsid w:val="0088665A"/>
    <w:rsid w:val="00886B85"/>
    <w:rsid w:val="0089151B"/>
    <w:rsid w:val="008916D9"/>
    <w:rsid w:val="008918F5"/>
    <w:rsid w:val="008937BE"/>
    <w:rsid w:val="008943B8"/>
    <w:rsid w:val="00894484"/>
    <w:rsid w:val="008954CC"/>
    <w:rsid w:val="0089555B"/>
    <w:rsid w:val="008956F5"/>
    <w:rsid w:val="0089666B"/>
    <w:rsid w:val="008A0516"/>
    <w:rsid w:val="008A0A9B"/>
    <w:rsid w:val="008A0BD5"/>
    <w:rsid w:val="008A0C75"/>
    <w:rsid w:val="008A261F"/>
    <w:rsid w:val="008A35D7"/>
    <w:rsid w:val="008A3BEB"/>
    <w:rsid w:val="008A3C25"/>
    <w:rsid w:val="008A533A"/>
    <w:rsid w:val="008A5F61"/>
    <w:rsid w:val="008A7781"/>
    <w:rsid w:val="008A7A9F"/>
    <w:rsid w:val="008B0BDB"/>
    <w:rsid w:val="008B0C8B"/>
    <w:rsid w:val="008B0EC6"/>
    <w:rsid w:val="008B2786"/>
    <w:rsid w:val="008B2E52"/>
    <w:rsid w:val="008B302B"/>
    <w:rsid w:val="008B488F"/>
    <w:rsid w:val="008B4B75"/>
    <w:rsid w:val="008B4E21"/>
    <w:rsid w:val="008B5CE6"/>
    <w:rsid w:val="008B65C5"/>
    <w:rsid w:val="008B70B5"/>
    <w:rsid w:val="008B7685"/>
    <w:rsid w:val="008B7A76"/>
    <w:rsid w:val="008C07B5"/>
    <w:rsid w:val="008C1B59"/>
    <w:rsid w:val="008C211D"/>
    <w:rsid w:val="008C2371"/>
    <w:rsid w:val="008C390E"/>
    <w:rsid w:val="008C54AD"/>
    <w:rsid w:val="008C55FD"/>
    <w:rsid w:val="008C6CD7"/>
    <w:rsid w:val="008C7A2D"/>
    <w:rsid w:val="008D0359"/>
    <w:rsid w:val="008D1C92"/>
    <w:rsid w:val="008D40A0"/>
    <w:rsid w:val="008D4ECF"/>
    <w:rsid w:val="008D5000"/>
    <w:rsid w:val="008D5FE6"/>
    <w:rsid w:val="008D73E4"/>
    <w:rsid w:val="008E069B"/>
    <w:rsid w:val="008E12D7"/>
    <w:rsid w:val="008E1834"/>
    <w:rsid w:val="008E1C67"/>
    <w:rsid w:val="008E1D7D"/>
    <w:rsid w:val="008E20DF"/>
    <w:rsid w:val="008E20EF"/>
    <w:rsid w:val="008E2925"/>
    <w:rsid w:val="008E3BBF"/>
    <w:rsid w:val="008E3C73"/>
    <w:rsid w:val="008E418F"/>
    <w:rsid w:val="008E4272"/>
    <w:rsid w:val="008E4DEF"/>
    <w:rsid w:val="008E70E1"/>
    <w:rsid w:val="008E721F"/>
    <w:rsid w:val="008F26DB"/>
    <w:rsid w:val="008F26F0"/>
    <w:rsid w:val="008F2A3E"/>
    <w:rsid w:val="008F3F33"/>
    <w:rsid w:val="008F40D3"/>
    <w:rsid w:val="008F428C"/>
    <w:rsid w:val="008F499C"/>
    <w:rsid w:val="008F5F7D"/>
    <w:rsid w:val="008F62A8"/>
    <w:rsid w:val="008F671B"/>
    <w:rsid w:val="009007B6"/>
    <w:rsid w:val="00901BF9"/>
    <w:rsid w:val="00904BBC"/>
    <w:rsid w:val="0090533E"/>
    <w:rsid w:val="00905E2B"/>
    <w:rsid w:val="009078B1"/>
    <w:rsid w:val="00910023"/>
    <w:rsid w:val="0091118D"/>
    <w:rsid w:val="00911908"/>
    <w:rsid w:val="00912081"/>
    <w:rsid w:val="009120F6"/>
    <w:rsid w:val="0091212A"/>
    <w:rsid w:val="009126FA"/>
    <w:rsid w:val="00913337"/>
    <w:rsid w:val="00915A59"/>
    <w:rsid w:val="009166A5"/>
    <w:rsid w:val="00917140"/>
    <w:rsid w:val="00923F8F"/>
    <w:rsid w:val="00924B68"/>
    <w:rsid w:val="00924FC4"/>
    <w:rsid w:val="00927961"/>
    <w:rsid w:val="009301BC"/>
    <w:rsid w:val="00930F3F"/>
    <w:rsid w:val="009313C8"/>
    <w:rsid w:val="00933175"/>
    <w:rsid w:val="009341F3"/>
    <w:rsid w:val="009351DB"/>
    <w:rsid w:val="00935E40"/>
    <w:rsid w:val="009361F9"/>
    <w:rsid w:val="00936303"/>
    <w:rsid w:val="00937841"/>
    <w:rsid w:val="009378F7"/>
    <w:rsid w:val="009404CF"/>
    <w:rsid w:val="00940BB1"/>
    <w:rsid w:val="00941F6D"/>
    <w:rsid w:val="00942CEA"/>
    <w:rsid w:val="00944393"/>
    <w:rsid w:val="00946F26"/>
    <w:rsid w:val="009479C2"/>
    <w:rsid w:val="00947C2B"/>
    <w:rsid w:val="00950EB5"/>
    <w:rsid w:val="00953301"/>
    <w:rsid w:val="00953AB5"/>
    <w:rsid w:val="0095439E"/>
    <w:rsid w:val="00956BA6"/>
    <w:rsid w:val="009600C9"/>
    <w:rsid w:val="00960910"/>
    <w:rsid w:val="009630DD"/>
    <w:rsid w:val="00963481"/>
    <w:rsid w:val="00966960"/>
    <w:rsid w:val="00967E67"/>
    <w:rsid w:val="009706D7"/>
    <w:rsid w:val="0097127B"/>
    <w:rsid w:val="009718C9"/>
    <w:rsid w:val="00971EDD"/>
    <w:rsid w:val="00972A7C"/>
    <w:rsid w:val="00972CC8"/>
    <w:rsid w:val="009730E7"/>
    <w:rsid w:val="00973FDC"/>
    <w:rsid w:val="00975939"/>
    <w:rsid w:val="00976C5B"/>
    <w:rsid w:val="009827EB"/>
    <w:rsid w:val="00982EB9"/>
    <w:rsid w:val="00983EE6"/>
    <w:rsid w:val="00983F61"/>
    <w:rsid w:val="00983FAC"/>
    <w:rsid w:val="0098484F"/>
    <w:rsid w:val="0098489D"/>
    <w:rsid w:val="0098621C"/>
    <w:rsid w:val="009871B8"/>
    <w:rsid w:val="00987912"/>
    <w:rsid w:val="00991F86"/>
    <w:rsid w:val="009928E4"/>
    <w:rsid w:val="00992C2F"/>
    <w:rsid w:val="00992DF0"/>
    <w:rsid w:val="00994F87"/>
    <w:rsid w:val="00996BA1"/>
    <w:rsid w:val="009A15B4"/>
    <w:rsid w:val="009A274E"/>
    <w:rsid w:val="009A2F1A"/>
    <w:rsid w:val="009A3596"/>
    <w:rsid w:val="009A3A6F"/>
    <w:rsid w:val="009A3F23"/>
    <w:rsid w:val="009A7426"/>
    <w:rsid w:val="009B0B00"/>
    <w:rsid w:val="009B2E25"/>
    <w:rsid w:val="009B3797"/>
    <w:rsid w:val="009B4BA4"/>
    <w:rsid w:val="009B7D1C"/>
    <w:rsid w:val="009C1471"/>
    <w:rsid w:val="009C332C"/>
    <w:rsid w:val="009C4B3F"/>
    <w:rsid w:val="009C5516"/>
    <w:rsid w:val="009C59C9"/>
    <w:rsid w:val="009C7392"/>
    <w:rsid w:val="009D031C"/>
    <w:rsid w:val="009D102B"/>
    <w:rsid w:val="009D1060"/>
    <w:rsid w:val="009D7444"/>
    <w:rsid w:val="009D765C"/>
    <w:rsid w:val="009D7CB1"/>
    <w:rsid w:val="009E3ACF"/>
    <w:rsid w:val="009E4922"/>
    <w:rsid w:val="009E4BBE"/>
    <w:rsid w:val="009E7270"/>
    <w:rsid w:val="009F0EBE"/>
    <w:rsid w:val="009F2A06"/>
    <w:rsid w:val="009F2AF5"/>
    <w:rsid w:val="009F3905"/>
    <w:rsid w:val="009F3EAD"/>
    <w:rsid w:val="009F6146"/>
    <w:rsid w:val="009F6264"/>
    <w:rsid w:val="009F6FAC"/>
    <w:rsid w:val="00A00150"/>
    <w:rsid w:val="00A01580"/>
    <w:rsid w:val="00A01C24"/>
    <w:rsid w:val="00A01E07"/>
    <w:rsid w:val="00A02A5E"/>
    <w:rsid w:val="00A03AF9"/>
    <w:rsid w:val="00A06EBF"/>
    <w:rsid w:val="00A10419"/>
    <w:rsid w:val="00A114A7"/>
    <w:rsid w:val="00A11508"/>
    <w:rsid w:val="00A11C50"/>
    <w:rsid w:val="00A12FC2"/>
    <w:rsid w:val="00A13311"/>
    <w:rsid w:val="00A13BFA"/>
    <w:rsid w:val="00A17501"/>
    <w:rsid w:val="00A20076"/>
    <w:rsid w:val="00A21836"/>
    <w:rsid w:val="00A22C6E"/>
    <w:rsid w:val="00A238DB"/>
    <w:rsid w:val="00A25171"/>
    <w:rsid w:val="00A269F7"/>
    <w:rsid w:val="00A26EE6"/>
    <w:rsid w:val="00A308C7"/>
    <w:rsid w:val="00A30E8A"/>
    <w:rsid w:val="00A31085"/>
    <w:rsid w:val="00A31625"/>
    <w:rsid w:val="00A32EBC"/>
    <w:rsid w:val="00A33269"/>
    <w:rsid w:val="00A34A94"/>
    <w:rsid w:val="00A34F9F"/>
    <w:rsid w:val="00A4109B"/>
    <w:rsid w:val="00A41A61"/>
    <w:rsid w:val="00A4273B"/>
    <w:rsid w:val="00A42CE1"/>
    <w:rsid w:val="00A42FEB"/>
    <w:rsid w:val="00A4305B"/>
    <w:rsid w:val="00A43522"/>
    <w:rsid w:val="00A43A6F"/>
    <w:rsid w:val="00A43F55"/>
    <w:rsid w:val="00A44707"/>
    <w:rsid w:val="00A450CF"/>
    <w:rsid w:val="00A4537F"/>
    <w:rsid w:val="00A45C78"/>
    <w:rsid w:val="00A479AF"/>
    <w:rsid w:val="00A535C4"/>
    <w:rsid w:val="00A53FDC"/>
    <w:rsid w:val="00A5530F"/>
    <w:rsid w:val="00A57326"/>
    <w:rsid w:val="00A57361"/>
    <w:rsid w:val="00A57612"/>
    <w:rsid w:val="00A60A38"/>
    <w:rsid w:val="00A62C6D"/>
    <w:rsid w:val="00A62FC5"/>
    <w:rsid w:val="00A638AE"/>
    <w:rsid w:val="00A64DE3"/>
    <w:rsid w:val="00A67A1C"/>
    <w:rsid w:val="00A707C0"/>
    <w:rsid w:val="00A70F7C"/>
    <w:rsid w:val="00A7252C"/>
    <w:rsid w:val="00A72FDD"/>
    <w:rsid w:val="00A735E8"/>
    <w:rsid w:val="00A73795"/>
    <w:rsid w:val="00A74199"/>
    <w:rsid w:val="00A742A6"/>
    <w:rsid w:val="00A77C04"/>
    <w:rsid w:val="00A77C69"/>
    <w:rsid w:val="00A80650"/>
    <w:rsid w:val="00A831F5"/>
    <w:rsid w:val="00A836D2"/>
    <w:rsid w:val="00A87203"/>
    <w:rsid w:val="00A90072"/>
    <w:rsid w:val="00A9247F"/>
    <w:rsid w:val="00A92E2E"/>
    <w:rsid w:val="00A94CC9"/>
    <w:rsid w:val="00A94E0E"/>
    <w:rsid w:val="00AA03E5"/>
    <w:rsid w:val="00AA0E09"/>
    <w:rsid w:val="00AA1A6D"/>
    <w:rsid w:val="00AA34AA"/>
    <w:rsid w:val="00AA446C"/>
    <w:rsid w:val="00AA4DCF"/>
    <w:rsid w:val="00AA5778"/>
    <w:rsid w:val="00AA735C"/>
    <w:rsid w:val="00AA757D"/>
    <w:rsid w:val="00AB0386"/>
    <w:rsid w:val="00AB0A03"/>
    <w:rsid w:val="00AB1712"/>
    <w:rsid w:val="00AB1C44"/>
    <w:rsid w:val="00AB3014"/>
    <w:rsid w:val="00AB32E1"/>
    <w:rsid w:val="00AB57BB"/>
    <w:rsid w:val="00AB59CE"/>
    <w:rsid w:val="00AB6DBF"/>
    <w:rsid w:val="00AB7ADC"/>
    <w:rsid w:val="00AC0553"/>
    <w:rsid w:val="00AC1251"/>
    <w:rsid w:val="00AC1E0B"/>
    <w:rsid w:val="00AC20F7"/>
    <w:rsid w:val="00AC2310"/>
    <w:rsid w:val="00AC374B"/>
    <w:rsid w:val="00AC4A51"/>
    <w:rsid w:val="00AC65F5"/>
    <w:rsid w:val="00AC699B"/>
    <w:rsid w:val="00AC6E33"/>
    <w:rsid w:val="00AC70E7"/>
    <w:rsid w:val="00AC7288"/>
    <w:rsid w:val="00AC7AC2"/>
    <w:rsid w:val="00AD0BFA"/>
    <w:rsid w:val="00AD108C"/>
    <w:rsid w:val="00AD20E8"/>
    <w:rsid w:val="00AD2141"/>
    <w:rsid w:val="00AD2965"/>
    <w:rsid w:val="00AD4C99"/>
    <w:rsid w:val="00AD5F29"/>
    <w:rsid w:val="00AD6530"/>
    <w:rsid w:val="00AD6FBC"/>
    <w:rsid w:val="00AD7751"/>
    <w:rsid w:val="00AE0258"/>
    <w:rsid w:val="00AE10E7"/>
    <w:rsid w:val="00AE1C5D"/>
    <w:rsid w:val="00AE3634"/>
    <w:rsid w:val="00AE3B58"/>
    <w:rsid w:val="00AE7D92"/>
    <w:rsid w:val="00AF1E34"/>
    <w:rsid w:val="00AF24FB"/>
    <w:rsid w:val="00AF287F"/>
    <w:rsid w:val="00AF3F15"/>
    <w:rsid w:val="00AF437D"/>
    <w:rsid w:val="00AF56A5"/>
    <w:rsid w:val="00AF5C19"/>
    <w:rsid w:val="00AF696C"/>
    <w:rsid w:val="00AF6EF2"/>
    <w:rsid w:val="00B01130"/>
    <w:rsid w:val="00B022C4"/>
    <w:rsid w:val="00B02D03"/>
    <w:rsid w:val="00B041BD"/>
    <w:rsid w:val="00B05049"/>
    <w:rsid w:val="00B052EA"/>
    <w:rsid w:val="00B06C0A"/>
    <w:rsid w:val="00B10961"/>
    <w:rsid w:val="00B118B9"/>
    <w:rsid w:val="00B12446"/>
    <w:rsid w:val="00B125A4"/>
    <w:rsid w:val="00B169DD"/>
    <w:rsid w:val="00B21DD3"/>
    <w:rsid w:val="00B21F10"/>
    <w:rsid w:val="00B22C3C"/>
    <w:rsid w:val="00B22F0E"/>
    <w:rsid w:val="00B23A59"/>
    <w:rsid w:val="00B250D0"/>
    <w:rsid w:val="00B26531"/>
    <w:rsid w:val="00B319D4"/>
    <w:rsid w:val="00B329F8"/>
    <w:rsid w:val="00B334C8"/>
    <w:rsid w:val="00B35FA6"/>
    <w:rsid w:val="00B37F06"/>
    <w:rsid w:val="00B410A6"/>
    <w:rsid w:val="00B414A6"/>
    <w:rsid w:val="00B41FF9"/>
    <w:rsid w:val="00B43134"/>
    <w:rsid w:val="00B442FE"/>
    <w:rsid w:val="00B44B07"/>
    <w:rsid w:val="00B44E92"/>
    <w:rsid w:val="00B4623D"/>
    <w:rsid w:val="00B47562"/>
    <w:rsid w:val="00B509D7"/>
    <w:rsid w:val="00B50FF3"/>
    <w:rsid w:val="00B51817"/>
    <w:rsid w:val="00B52096"/>
    <w:rsid w:val="00B5329A"/>
    <w:rsid w:val="00B5339D"/>
    <w:rsid w:val="00B55C91"/>
    <w:rsid w:val="00B57F79"/>
    <w:rsid w:val="00B61B73"/>
    <w:rsid w:val="00B62246"/>
    <w:rsid w:val="00B63F96"/>
    <w:rsid w:val="00B65E3D"/>
    <w:rsid w:val="00B66ACA"/>
    <w:rsid w:val="00B66B67"/>
    <w:rsid w:val="00B66FB9"/>
    <w:rsid w:val="00B72409"/>
    <w:rsid w:val="00B72A55"/>
    <w:rsid w:val="00B74488"/>
    <w:rsid w:val="00B76454"/>
    <w:rsid w:val="00B80820"/>
    <w:rsid w:val="00B80D8E"/>
    <w:rsid w:val="00B8162B"/>
    <w:rsid w:val="00B81C8F"/>
    <w:rsid w:val="00B81CA5"/>
    <w:rsid w:val="00B8284B"/>
    <w:rsid w:val="00B830FD"/>
    <w:rsid w:val="00B83EA4"/>
    <w:rsid w:val="00B843AA"/>
    <w:rsid w:val="00B863D6"/>
    <w:rsid w:val="00B92055"/>
    <w:rsid w:val="00B92CEF"/>
    <w:rsid w:val="00B93D2D"/>
    <w:rsid w:val="00B97C50"/>
    <w:rsid w:val="00BA1C50"/>
    <w:rsid w:val="00BA38E3"/>
    <w:rsid w:val="00BA3AFB"/>
    <w:rsid w:val="00BA691B"/>
    <w:rsid w:val="00BA7433"/>
    <w:rsid w:val="00BB03A1"/>
    <w:rsid w:val="00BB0655"/>
    <w:rsid w:val="00BB0DED"/>
    <w:rsid w:val="00BB14FF"/>
    <w:rsid w:val="00BB2745"/>
    <w:rsid w:val="00BB2F36"/>
    <w:rsid w:val="00BB3720"/>
    <w:rsid w:val="00BB4B02"/>
    <w:rsid w:val="00BB56C1"/>
    <w:rsid w:val="00BB7344"/>
    <w:rsid w:val="00BB74E5"/>
    <w:rsid w:val="00BB756D"/>
    <w:rsid w:val="00BB7807"/>
    <w:rsid w:val="00BC12EC"/>
    <w:rsid w:val="00BC1C92"/>
    <w:rsid w:val="00BC2714"/>
    <w:rsid w:val="00BC2DCF"/>
    <w:rsid w:val="00BC4A87"/>
    <w:rsid w:val="00BC60A2"/>
    <w:rsid w:val="00BC638E"/>
    <w:rsid w:val="00BC6F42"/>
    <w:rsid w:val="00BD2F44"/>
    <w:rsid w:val="00BD3295"/>
    <w:rsid w:val="00BD4059"/>
    <w:rsid w:val="00BD6D76"/>
    <w:rsid w:val="00BD7C1A"/>
    <w:rsid w:val="00BD7C2E"/>
    <w:rsid w:val="00BE09CA"/>
    <w:rsid w:val="00BE09DD"/>
    <w:rsid w:val="00BE13A1"/>
    <w:rsid w:val="00BE1437"/>
    <w:rsid w:val="00BE3A1B"/>
    <w:rsid w:val="00BE4770"/>
    <w:rsid w:val="00BE6968"/>
    <w:rsid w:val="00BE6ACB"/>
    <w:rsid w:val="00BF08BD"/>
    <w:rsid w:val="00BF1849"/>
    <w:rsid w:val="00BF1A17"/>
    <w:rsid w:val="00BF2855"/>
    <w:rsid w:val="00BF2E61"/>
    <w:rsid w:val="00BF507F"/>
    <w:rsid w:val="00BF6194"/>
    <w:rsid w:val="00BF63F8"/>
    <w:rsid w:val="00C03AA1"/>
    <w:rsid w:val="00C04932"/>
    <w:rsid w:val="00C04FAD"/>
    <w:rsid w:val="00C053C1"/>
    <w:rsid w:val="00C05F3A"/>
    <w:rsid w:val="00C0706F"/>
    <w:rsid w:val="00C072E1"/>
    <w:rsid w:val="00C129C7"/>
    <w:rsid w:val="00C1314D"/>
    <w:rsid w:val="00C1540E"/>
    <w:rsid w:val="00C1594F"/>
    <w:rsid w:val="00C16186"/>
    <w:rsid w:val="00C216EE"/>
    <w:rsid w:val="00C22A20"/>
    <w:rsid w:val="00C22A4B"/>
    <w:rsid w:val="00C23A02"/>
    <w:rsid w:val="00C25442"/>
    <w:rsid w:val="00C272EF"/>
    <w:rsid w:val="00C3217A"/>
    <w:rsid w:val="00C32E9A"/>
    <w:rsid w:val="00C331CC"/>
    <w:rsid w:val="00C332F6"/>
    <w:rsid w:val="00C34491"/>
    <w:rsid w:val="00C35AF5"/>
    <w:rsid w:val="00C3789A"/>
    <w:rsid w:val="00C4171F"/>
    <w:rsid w:val="00C4338B"/>
    <w:rsid w:val="00C4415B"/>
    <w:rsid w:val="00C449BC"/>
    <w:rsid w:val="00C458E6"/>
    <w:rsid w:val="00C45E09"/>
    <w:rsid w:val="00C4650C"/>
    <w:rsid w:val="00C46794"/>
    <w:rsid w:val="00C47155"/>
    <w:rsid w:val="00C5238B"/>
    <w:rsid w:val="00C5287F"/>
    <w:rsid w:val="00C52C9D"/>
    <w:rsid w:val="00C53FCB"/>
    <w:rsid w:val="00C548AB"/>
    <w:rsid w:val="00C553E6"/>
    <w:rsid w:val="00C56CEF"/>
    <w:rsid w:val="00C57B3C"/>
    <w:rsid w:val="00C60796"/>
    <w:rsid w:val="00C62CFF"/>
    <w:rsid w:val="00C667C3"/>
    <w:rsid w:val="00C67018"/>
    <w:rsid w:val="00C708A6"/>
    <w:rsid w:val="00C7110D"/>
    <w:rsid w:val="00C72F6C"/>
    <w:rsid w:val="00C73C8B"/>
    <w:rsid w:val="00C763F5"/>
    <w:rsid w:val="00C765AD"/>
    <w:rsid w:val="00C7783E"/>
    <w:rsid w:val="00C803C1"/>
    <w:rsid w:val="00C82B05"/>
    <w:rsid w:val="00C84AD6"/>
    <w:rsid w:val="00C84D95"/>
    <w:rsid w:val="00C84E10"/>
    <w:rsid w:val="00C856F6"/>
    <w:rsid w:val="00C91FFE"/>
    <w:rsid w:val="00C922C1"/>
    <w:rsid w:val="00C92FB9"/>
    <w:rsid w:val="00C934C5"/>
    <w:rsid w:val="00C93576"/>
    <w:rsid w:val="00C93E7F"/>
    <w:rsid w:val="00C96CA4"/>
    <w:rsid w:val="00CA1F6D"/>
    <w:rsid w:val="00CA2A18"/>
    <w:rsid w:val="00CA42F4"/>
    <w:rsid w:val="00CA4B71"/>
    <w:rsid w:val="00CA535B"/>
    <w:rsid w:val="00CA69AE"/>
    <w:rsid w:val="00CA7014"/>
    <w:rsid w:val="00CA7B74"/>
    <w:rsid w:val="00CB31CD"/>
    <w:rsid w:val="00CB4F2E"/>
    <w:rsid w:val="00CB5E0A"/>
    <w:rsid w:val="00CB5EE7"/>
    <w:rsid w:val="00CB60C0"/>
    <w:rsid w:val="00CB6134"/>
    <w:rsid w:val="00CB6604"/>
    <w:rsid w:val="00CB6CFE"/>
    <w:rsid w:val="00CC05CC"/>
    <w:rsid w:val="00CC299A"/>
    <w:rsid w:val="00CC2F7B"/>
    <w:rsid w:val="00CC4EA3"/>
    <w:rsid w:val="00CC5CB8"/>
    <w:rsid w:val="00CC706A"/>
    <w:rsid w:val="00CC72AC"/>
    <w:rsid w:val="00CD2467"/>
    <w:rsid w:val="00CD275A"/>
    <w:rsid w:val="00CD27D5"/>
    <w:rsid w:val="00CD2C56"/>
    <w:rsid w:val="00CD3072"/>
    <w:rsid w:val="00CD3D26"/>
    <w:rsid w:val="00CD5123"/>
    <w:rsid w:val="00CD5769"/>
    <w:rsid w:val="00CD5DDD"/>
    <w:rsid w:val="00CD5ECB"/>
    <w:rsid w:val="00CD6BFD"/>
    <w:rsid w:val="00CD718F"/>
    <w:rsid w:val="00CE0721"/>
    <w:rsid w:val="00CE2195"/>
    <w:rsid w:val="00CE24C3"/>
    <w:rsid w:val="00CE28BC"/>
    <w:rsid w:val="00CE3D14"/>
    <w:rsid w:val="00CE49E7"/>
    <w:rsid w:val="00CE6368"/>
    <w:rsid w:val="00CE73B0"/>
    <w:rsid w:val="00CF0ADF"/>
    <w:rsid w:val="00CF2C39"/>
    <w:rsid w:val="00CF2D72"/>
    <w:rsid w:val="00CF4502"/>
    <w:rsid w:val="00CF464D"/>
    <w:rsid w:val="00D00362"/>
    <w:rsid w:val="00D014EE"/>
    <w:rsid w:val="00D01CB8"/>
    <w:rsid w:val="00D03AFD"/>
    <w:rsid w:val="00D049E8"/>
    <w:rsid w:val="00D062EA"/>
    <w:rsid w:val="00D07237"/>
    <w:rsid w:val="00D117AB"/>
    <w:rsid w:val="00D12650"/>
    <w:rsid w:val="00D13F6A"/>
    <w:rsid w:val="00D15A92"/>
    <w:rsid w:val="00D2148C"/>
    <w:rsid w:val="00D21C82"/>
    <w:rsid w:val="00D2294A"/>
    <w:rsid w:val="00D22E4A"/>
    <w:rsid w:val="00D23721"/>
    <w:rsid w:val="00D23B4D"/>
    <w:rsid w:val="00D27091"/>
    <w:rsid w:val="00D27683"/>
    <w:rsid w:val="00D27CA2"/>
    <w:rsid w:val="00D312D4"/>
    <w:rsid w:val="00D32099"/>
    <w:rsid w:val="00D3253E"/>
    <w:rsid w:val="00D342C9"/>
    <w:rsid w:val="00D34AD8"/>
    <w:rsid w:val="00D35BCE"/>
    <w:rsid w:val="00D41C0F"/>
    <w:rsid w:val="00D42913"/>
    <w:rsid w:val="00D441A4"/>
    <w:rsid w:val="00D447A7"/>
    <w:rsid w:val="00D469B2"/>
    <w:rsid w:val="00D50140"/>
    <w:rsid w:val="00D50951"/>
    <w:rsid w:val="00D551CF"/>
    <w:rsid w:val="00D559AB"/>
    <w:rsid w:val="00D567E1"/>
    <w:rsid w:val="00D56B8A"/>
    <w:rsid w:val="00D57614"/>
    <w:rsid w:val="00D63BC8"/>
    <w:rsid w:val="00D666AB"/>
    <w:rsid w:val="00D6774E"/>
    <w:rsid w:val="00D70DC0"/>
    <w:rsid w:val="00D72089"/>
    <w:rsid w:val="00D725EC"/>
    <w:rsid w:val="00D738A6"/>
    <w:rsid w:val="00D740C8"/>
    <w:rsid w:val="00D74154"/>
    <w:rsid w:val="00D747E4"/>
    <w:rsid w:val="00D7507C"/>
    <w:rsid w:val="00D77AE3"/>
    <w:rsid w:val="00D80F84"/>
    <w:rsid w:val="00D8307A"/>
    <w:rsid w:val="00D833D2"/>
    <w:rsid w:val="00D85186"/>
    <w:rsid w:val="00D87B10"/>
    <w:rsid w:val="00D87E6A"/>
    <w:rsid w:val="00D91322"/>
    <w:rsid w:val="00D9149A"/>
    <w:rsid w:val="00D9175B"/>
    <w:rsid w:val="00D91BBF"/>
    <w:rsid w:val="00D91D97"/>
    <w:rsid w:val="00D91EA4"/>
    <w:rsid w:val="00D926F9"/>
    <w:rsid w:val="00D936C4"/>
    <w:rsid w:val="00D9422F"/>
    <w:rsid w:val="00D949A5"/>
    <w:rsid w:val="00D96C1B"/>
    <w:rsid w:val="00D976CB"/>
    <w:rsid w:val="00DA0555"/>
    <w:rsid w:val="00DA1E13"/>
    <w:rsid w:val="00DA30FC"/>
    <w:rsid w:val="00DA3D43"/>
    <w:rsid w:val="00DA3F7D"/>
    <w:rsid w:val="00DA4E1F"/>
    <w:rsid w:val="00DA73AC"/>
    <w:rsid w:val="00DA7833"/>
    <w:rsid w:val="00DB131F"/>
    <w:rsid w:val="00DB24B0"/>
    <w:rsid w:val="00DB429C"/>
    <w:rsid w:val="00DB44E8"/>
    <w:rsid w:val="00DB50BD"/>
    <w:rsid w:val="00DB61CE"/>
    <w:rsid w:val="00DB7B30"/>
    <w:rsid w:val="00DC02D4"/>
    <w:rsid w:val="00DC3601"/>
    <w:rsid w:val="00DC45F6"/>
    <w:rsid w:val="00DC57DD"/>
    <w:rsid w:val="00DC5E9A"/>
    <w:rsid w:val="00DC6E40"/>
    <w:rsid w:val="00DC7177"/>
    <w:rsid w:val="00DD081A"/>
    <w:rsid w:val="00DD1447"/>
    <w:rsid w:val="00DD3370"/>
    <w:rsid w:val="00DD3E4F"/>
    <w:rsid w:val="00DD4642"/>
    <w:rsid w:val="00DD55E9"/>
    <w:rsid w:val="00DE0CAA"/>
    <w:rsid w:val="00DE2A0E"/>
    <w:rsid w:val="00DE2C2D"/>
    <w:rsid w:val="00DE3CB7"/>
    <w:rsid w:val="00DE49E8"/>
    <w:rsid w:val="00DE6005"/>
    <w:rsid w:val="00DE7EB5"/>
    <w:rsid w:val="00DF09D6"/>
    <w:rsid w:val="00DF0A5C"/>
    <w:rsid w:val="00DF1E01"/>
    <w:rsid w:val="00DF44FF"/>
    <w:rsid w:val="00DF4E1C"/>
    <w:rsid w:val="00DF716F"/>
    <w:rsid w:val="00DF7BC6"/>
    <w:rsid w:val="00E00D93"/>
    <w:rsid w:val="00E014A4"/>
    <w:rsid w:val="00E01CC2"/>
    <w:rsid w:val="00E03135"/>
    <w:rsid w:val="00E03F1D"/>
    <w:rsid w:val="00E053E5"/>
    <w:rsid w:val="00E05C79"/>
    <w:rsid w:val="00E0742A"/>
    <w:rsid w:val="00E108F6"/>
    <w:rsid w:val="00E12CF7"/>
    <w:rsid w:val="00E153E8"/>
    <w:rsid w:val="00E15B85"/>
    <w:rsid w:val="00E21C17"/>
    <w:rsid w:val="00E2256D"/>
    <w:rsid w:val="00E233F0"/>
    <w:rsid w:val="00E2538B"/>
    <w:rsid w:val="00E25415"/>
    <w:rsid w:val="00E26FA2"/>
    <w:rsid w:val="00E27AA4"/>
    <w:rsid w:val="00E32145"/>
    <w:rsid w:val="00E32977"/>
    <w:rsid w:val="00E33C37"/>
    <w:rsid w:val="00E34A19"/>
    <w:rsid w:val="00E35960"/>
    <w:rsid w:val="00E368CF"/>
    <w:rsid w:val="00E40196"/>
    <w:rsid w:val="00E41D8F"/>
    <w:rsid w:val="00E41DC4"/>
    <w:rsid w:val="00E459A4"/>
    <w:rsid w:val="00E46BD8"/>
    <w:rsid w:val="00E4727E"/>
    <w:rsid w:val="00E47ED5"/>
    <w:rsid w:val="00E514EB"/>
    <w:rsid w:val="00E53E87"/>
    <w:rsid w:val="00E54332"/>
    <w:rsid w:val="00E54FAB"/>
    <w:rsid w:val="00E55313"/>
    <w:rsid w:val="00E577D5"/>
    <w:rsid w:val="00E615C1"/>
    <w:rsid w:val="00E623B7"/>
    <w:rsid w:val="00E62572"/>
    <w:rsid w:val="00E6432F"/>
    <w:rsid w:val="00E64E03"/>
    <w:rsid w:val="00E66988"/>
    <w:rsid w:val="00E71D72"/>
    <w:rsid w:val="00E72E45"/>
    <w:rsid w:val="00E738D2"/>
    <w:rsid w:val="00E743E0"/>
    <w:rsid w:val="00E750E8"/>
    <w:rsid w:val="00E75233"/>
    <w:rsid w:val="00E7529F"/>
    <w:rsid w:val="00E75A41"/>
    <w:rsid w:val="00E77F18"/>
    <w:rsid w:val="00E81CC9"/>
    <w:rsid w:val="00E83E31"/>
    <w:rsid w:val="00E84D36"/>
    <w:rsid w:val="00E85527"/>
    <w:rsid w:val="00E87939"/>
    <w:rsid w:val="00E87DDB"/>
    <w:rsid w:val="00E90A40"/>
    <w:rsid w:val="00E9265D"/>
    <w:rsid w:val="00E927FC"/>
    <w:rsid w:val="00E92839"/>
    <w:rsid w:val="00E9442A"/>
    <w:rsid w:val="00E94824"/>
    <w:rsid w:val="00E951A8"/>
    <w:rsid w:val="00EA12A7"/>
    <w:rsid w:val="00EA24C8"/>
    <w:rsid w:val="00EA3FC2"/>
    <w:rsid w:val="00EA572B"/>
    <w:rsid w:val="00EA5B38"/>
    <w:rsid w:val="00EA5BC9"/>
    <w:rsid w:val="00EB060A"/>
    <w:rsid w:val="00EB13C9"/>
    <w:rsid w:val="00EB16C8"/>
    <w:rsid w:val="00EB1DE7"/>
    <w:rsid w:val="00EB4379"/>
    <w:rsid w:val="00EB520A"/>
    <w:rsid w:val="00EB5439"/>
    <w:rsid w:val="00EB674D"/>
    <w:rsid w:val="00EB6F28"/>
    <w:rsid w:val="00EB7B38"/>
    <w:rsid w:val="00EC04A6"/>
    <w:rsid w:val="00EC06AA"/>
    <w:rsid w:val="00EC0D4B"/>
    <w:rsid w:val="00EC1012"/>
    <w:rsid w:val="00EC2381"/>
    <w:rsid w:val="00EC28F4"/>
    <w:rsid w:val="00EC4CCB"/>
    <w:rsid w:val="00EC7688"/>
    <w:rsid w:val="00EC7E30"/>
    <w:rsid w:val="00ED0EE9"/>
    <w:rsid w:val="00ED1349"/>
    <w:rsid w:val="00ED24B9"/>
    <w:rsid w:val="00ED2E05"/>
    <w:rsid w:val="00ED389C"/>
    <w:rsid w:val="00ED5519"/>
    <w:rsid w:val="00ED7081"/>
    <w:rsid w:val="00ED7E93"/>
    <w:rsid w:val="00ED7F33"/>
    <w:rsid w:val="00EE1318"/>
    <w:rsid w:val="00EE18A8"/>
    <w:rsid w:val="00EE3395"/>
    <w:rsid w:val="00EE3448"/>
    <w:rsid w:val="00EE41ED"/>
    <w:rsid w:val="00EE6796"/>
    <w:rsid w:val="00EF01E1"/>
    <w:rsid w:val="00EF0D86"/>
    <w:rsid w:val="00EF1D99"/>
    <w:rsid w:val="00EF239A"/>
    <w:rsid w:val="00EF2C53"/>
    <w:rsid w:val="00EF2E02"/>
    <w:rsid w:val="00EF3658"/>
    <w:rsid w:val="00F00F26"/>
    <w:rsid w:val="00F01607"/>
    <w:rsid w:val="00F0208D"/>
    <w:rsid w:val="00F044CD"/>
    <w:rsid w:val="00F054C8"/>
    <w:rsid w:val="00F10998"/>
    <w:rsid w:val="00F11078"/>
    <w:rsid w:val="00F118C1"/>
    <w:rsid w:val="00F11A4A"/>
    <w:rsid w:val="00F125FF"/>
    <w:rsid w:val="00F13314"/>
    <w:rsid w:val="00F136EF"/>
    <w:rsid w:val="00F13ADA"/>
    <w:rsid w:val="00F14FB4"/>
    <w:rsid w:val="00F159FE"/>
    <w:rsid w:val="00F1607B"/>
    <w:rsid w:val="00F17AB6"/>
    <w:rsid w:val="00F20A3B"/>
    <w:rsid w:val="00F22167"/>
    <w:rsid w:val="00F227D7"/>
    <w:rsid w:val="00F2303F"/>
    <w:rsid w:val="00F2350B"/>
    <w:rsid w:val="00F23DFC"/>
    <w:rsid w:val="00F245A6"/>
    <w:rsid w:val="00F25369"/>
    <w:rsid w:val="00F26D57"/>
    <w:rsid w:val="00F27E8D"/>
    <w:rsid w:val="00F27EB2"/>
    <w:rsid w:val="00F30C50"/>
    <w:rsid w:val="00F328B7"/>
    <w:rsid w:val="00F335A9"/>
    <w:rsid w:val="00F33DDF"/>
    <w:rsid w:val="00F34F1F"/>
    <w:rsid w:val="00F356EC"/>
    <w:rsid w:val="00F3656C"/>
    <w:rsid w:val="00F3676E"/>
    <w:rsid w:val="00F3742E"/>
    <w:rsid w:val="00F374E8"/>
    <w:rsid w:val="00F37554"/>
    <w:rsid w:val="00F37E22"/>
    <w:rsid w:val="00F40641"/>
    <w:rsid w:val="00F477BD"/>
    <w:rsid w:val="00F47FB3"/>
    <w:rsid w:val="00F500FE"/>
    <w:rsid w:val="00F5044F"/>
    <w:rsid w:val="00F53887"/>
    <w:rsid w:val="00F55716"/>
    <w:rsid w:val="00F57C24"/>
    <w:rsid w:val="00F60332"/>
    <w:rsid w:val="00F61461"/>
    <w:rsid w:val="00F61D42"/>
    <w:rsid w:val="00F63F66"/>
    <w:rsid w:val="00F65E2C"/>
    <w:rsid w:val="00F65F90"/>
    <w:rsid w:val="00F66A4D"/>
    <w:rsid w:val="00F675D5"/>
    <w:rsid w:val="00F67A70"/>
    <w:rsid w:val="00F67DB6"/>
    <w:rsid w:val="00F7213D"/>
    <w:rsid w:val="00F747D6"/>
    <w:rsid w:val="00F7579C"/>
    <w:rsid w:val="00F75A7C"/>
    <w:rsid w:val="00F75EE7"/>
    <w:rsid w:val="00F76626"/>
    <w:rsid w:val="00F82991"/>
    <w:rsid w:val="00F83BFB"/>
    <w:rsid w:val="00F851A5"/>
    <w:rsid w:val="00F90220"/>
    <w:rsid w:val="00F91A99"/>
    <w:rsid w:val="00F9366D"/>
    <w:rsid w:val="00F946F9"/>
    <w:rsid w:val="00F953CD"/>
    <w:rsid w:val="00FA086B"/>
    <w:rsid w:val="00FA08B9"/>
    <w:rsid w:val="00FA0FE9"/>
    <w:rsid w:val="00FA3FC1"/>
    <w:rsid w:val="00FA5DE6"/>
    <w:rsid w:val="00FB06B4"/>
    <w:rsid w:val="00FB0B9A"/>
    <w:rsid w:val="00FB5497"/>
    <w:rsid w:val="00FB5932"/>
    <w:rsid w:val="00FB6381"/>
    <w:rsid w:val="00FB6932"/>
    <w:rsid w:val="00FC14AB"/>
    <w:rsid w:val="00FC1666"/>
    <w:rsid w:val="00FC212D"/>
    <w:rsid w:val="00FC28F6"/>
    <w:rsid w:val="00FC32EB"/>
    <w:rsid w:val="00FC5431"/>
    <w:rsid w:val="00FC741C"/>
    <w:rsid w:val="00FC7D0E"/>
    <w:rsid w:val="00FC7FF8"/>
    <w:rsid w:val="00FD206B"/>
    <w:rsid w:val="00FD22B4"/>
    <w:rsid w:val="00FD27CD"/>
    <w:rsid w:val="00FD5495"/>
    <w:rsid w:val="00FD6CDA"/>
    <w:rsid w:val="00FD78E0"/>
    <w:rsid w:val="00FD7946"/>
    <w:rsid w:val="00FE1294"/>
    <w:rsid w:val="00FE2BB9"/>
    <w:rsid w:val="00FE2EA5"/>
    <w:rsid w:val="00FE682C"/>
    <w:rsid w:val="00FF0468"/>
    <w:rsid w:val="00FF26CD"/>
    <w:rsid w:val="00FF279C"/>
    <w:rsid w:val="00FF369D"/>
    <w:rsid w:val="00FF39C0"/>
    <w:rsid w:val="00FF4D57"/>
    <w:rsid w:val="00FF73BD"/>
    <w:rsid w:val="00FF743D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1D933"/>
  <w15:chartTrackingRefBased/>
  <w15:docId w15:val="{0CD9002F-5608-450B-9844-FBB444D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70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83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0834"/>
    <w:pPr>
      <w:ind w:left="720"/>
      <w:contextualSpacing/>
    </w:pPr>
  </w:style>
  <w:style w:type="paragraph" w:customStyle="1" w:styleId="xmsonormal">
    <w:name w:val="x_msonormal"/>
    <w:basedOn w:val="Normal"/>
    <w:rsid w:val="00E4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1060"/>
    <w:rPr>
      <w:b/>
      <w:bCs/>
    </w:rPr>
  </w:style>
  <w:style w:type="character" w:styleId="Hyperlink">
    <w:name w:val="Hyperlink"/>
    <w:basedOn w:val="Fontepargpadro"/>
    <w:uiPriority w:val="99"/>
    <w:unhideWhenUsed/>
    <w:rsid w:val="009D106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D744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D7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60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60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601A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3735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48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48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F48B9"/>
    <w:rPr>
      <w:vertAlign w:val="superscript"/>
    </w:rPr>
  </w:style>
  <w:style w:type="table" w:styleId="Tabelacomgrade">
    <w:name w:val="Table Grid"/>
    <w:basedOn w:val="Tabelanormal"/>
    <w:uiPriority w:val="39"/>
    <w:rsid w:val="003B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233"/>
    <w:rPr>
      <w:rFonts w:ascii="Segoe UI" w:hAnsi="Segoe UI" w:cs="Segoe UI"/>
      <w:sz w:val="18"/>
      <w:szCs w:val="18"/>
    </w:rPr>
  </w:style>
  <w:style w:type="paragraph" w:customStyle="1" w:styleId="textbody">
    <w:name w:val="textbody"/>
    <w:basedOn w:val="Normal"/>
    <w:rsid w:val="005C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70D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sta-resultadoinfo-descricao">
    <w:name w:val="lista-resultado__info-descricao"/>
    <w:basedOn w:val="Fontepargpadro"/>
    <w:rsid w:val="00570D04"/>
  </w:style>
  <w:style w:type="character" w:styleId="Refdecomentrio">
    <w:name w:val="annotation reference"/>
    <w:basedOn w:val="Fontepargpadro"/>
    <w:uiPriority w:val="99"/>
    <w:semiHidden/>
    <w:unhideWhenUsed/>
    <w:rsid w:val="00C321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21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217A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51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491"/>
  </w:style>
  <w:style w:type="paragraph" w:styleId="Rodap">
    <w:name w:val="footer"/>
    <w:basedOn w:val="Normal"/>
    <w:link w:val="RodapChar"/>
    <w:uiPriority w:val="99"/>
    <w:unhideWhenUsed/>
    <w:rsid w:val="00651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491"/>
  </w:style>
  <w:style w:type="paragraph" w:customStyle="1" w:styleId="Default">
    <w:name w:val="Default"/>
    <w:rsid w:val="00806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cemat.mt.gov.br/resolucao-plenaria-005-2018.pdf" TargetMode="External"/><Relationship Id="rId1" Type="http://schemas.openxmlformats.org/officeDocument/2006/relationships/hyperlink" Target="http://www.jucemat.mt.gov.br/resolucao-plenaria-003-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7F7C8-83A5-4EE2-B88F-391A88D1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2315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</dc:creator>
  <cp:keywords/>
  <dc:description/>
  <cp:lastModifiedBy>Marcos</cp:lastModifiedBy>
  <cp:revision>7</cp:revision>
  <dcterms:created xsi:type="dcterms:W3CDTF">2020-05-19T17:25:00Z</dcterms:created>
  <dcterms:modified xsi:type="dcterms:W3CDTF">2020-05-19T17:33:00Z</dcterms:modified>
</cp:coreProperties>
</file>