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210861" w14:textId="77777777" w:rsidR="00E67355" w:rsidRDefault="00E67355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500E2A6F" w14:textId="71DEE6FC" w:rsidR="00D3315F" w:rsidRPr="00306217" w:rsidRDefault="00336AC1" w:rsidP="0030621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0"/>
          <w:szCs w:val="24"/>
        </w:rPr>
      </w:pPr>
      <w:r w:rsidRPr="00306217">
        <w:rPr>
          <w:rFonts w:cstheme="minorHAnsi"/>
          <w:b/>
          <w:bCs/>
          <w:sz w:val="30"/>
          <w:szCs w:val="24"/>
        </w:rPr>
        <w:t>LISTA DE VERIFICAÇÃO</w:t>
      </w:r>
      <w:r w:rsidR="00A604DB">
        <w:rPr>
          <w:rFonts w:cstheme="minorHAnsi"/>
          <w:b/>
          <w:bCs/>
          <w:sz w:val="30"/>
          <w:szCs w:val="24"/>
        </w:rPr>
        <w:t xml:space="preserve"> - </w:t>
      </w:r>
      <w:r w:rsidR="00D3315F">
        <w:rPr>
          <w:rFonts w:cstheme="minorHAnsi"/>
          <w:b/>
          <w:bCs/>
          <w:sz w:val="30"/>
          <w:szCs w:val="24"/>
        </w:rPr>
        <w:t xml:space="preserve">AQUISIÇÃO DE BENS </w:t>
      </w:r>
      <w:r w:rsidR="00222E04">
        <w:rPr>
          <w:rFonts w:cstheme="minorHAnsi"/>
          <w:b/>
          <w:bCs/>
          <w:sz w:val="30"/>
          <w:szCs w:val="24"/>
        </w:rPr>
        <w:t xml:space="preserve">PARA ENFRENTAMENTO DE </w:t>
      </w:r>
      <w:proofErr w:type="gramStart"/>
      <w:r w:rsidR="00222E04">
        <w:rPr>
          <w:rFonts w:cstheme="minorHAnsi"/>
          <w:b/>
          <w:bCs/>
          <w:sz w:val="30"/>
          <w:szCs w:val="24"/>
        </w:rPr>
        <w:t>SITUAÇÃO DE EMERGÊNCIA</w:t>
      </w:r>
      <w:proofErr w:type="gramEnd"/>
      <w:r w:rsidR="00222E04">
        <w:rPr>
          <w:rFonts w:cstheme="minorHAnsi"/>
          <w:b/>
          <w:bCs/>
          <w:sz w:val="30"/>
          <w:szCs w:val="24"/>
        </w:rPr>
        <w:t xml:space="preserve"> DE SAÚDE PÚBLICA – COVID-19</w:t>
      </w:r>
      <w:r w:rsidR="00222E04">
        <w:rPr>
          <w:rStyle w:val="Refdenotaderodap"/>
          <w:rFonts w:cstheme="minorHAnsi"/>
          <w:b/>
          <w:bCs/>
          <w:sz w:val="30"/>
          <w:szCs w:val="24"/>
        </w:rPr>
        <w:footnoteReference w:id="1"/>
      </w:r>
    </w:p>
    <w:p w14:paraId="6A996BFA" w14:textId="77777777" w:rsidR="00336AC1" w:rsidRDefault="00336AC1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BB73C0E" w14:textId="77777777" w:rsidR="00306217" w:rsidRDefault="00306217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A097E5A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Obs.1: Na coluna “ESTADO” preencher apenas com as letras “S”, “N”, “N.A.”, sendo:</w:t>
      </w:r>
    </w:p>
    <w:p w14:paraId="19411C3D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S – SIM</w:t>
      </w:r>
    </w:p>
    <w:p w14:paraId="71E505F5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N – NÃO</w:t>
      </w:r>
    </w:p>
    <w:p w14:paraId="7A2271E0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N.A.– NÃO SE APLICA</w:t>
      </w:r>
    </w:p>
    <w:p w14:paraId="1677918B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04173C05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>Obs.2: Na utilização da presente lista deverão ser analisadas e verificadas as consequências para cada negativa, se pode ser suprida por justificativas ou enquadramentos específicos ou se deve haver complementação da instrução.</w:t>
      </w:r>
    </w:p>
    <w:p w14:paraId="0A6639FA" w14:textId="77777777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666A9A0F" w14:textId="77777777" w:rsidR="00E15A08" w:rsidRDefault="00A05093" w:rsidP="00E15A0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  <w:r>
        <w:rPr>
          <w:rFonts w:cstheme="minorHAnsi"/>
          <w:bCs/>
          <w:color w:val="FF0000"/>
          <w:sz w:val="24"/>
          <w:szCs w:val="24"/>
        </w:rPr>
        <w:t xml:space="preserve">Obs. 3: </w:t>
      </w:r>
      <w:r w:rsidR="00E15A08">
        <w:rPr>
          <w:rFonts w:cstheme="minorHAnsi"/>
          <w:bCs/>
          <w:color w:val="FF0000"/>
          <w:sz w:val="24"/>
          <w:szCs w:val="24"/>
        </w:rPr>
        <w:t>O agente que vier a utilizar esta lista deverá remover as seções que não se aplicarem ao caso (p. ex. no caso de contratação por dispensa, apenas a verificação comum a todas as contratações e a seção de dispensa deve ser mantida).</w:t>
      </w:r>
    </w:p>
    <w:p w14:paraId="0ECADB1A" w14:textId="5DF15099" w:rsidR="00A05093" w:rsidRDefault="00A05093" w:rsidP="00A0509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p w14:paraId="04888F92" w14:textId="77777777" w:rsidR="00B43EE1" w:rsidRDefault="00B43EE1" w:rsidP="005748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FF0000"/>
          <w:sz w:val="24"/>
          <w:szCs w:val="24"/>
        </w:rPr>
      </w:pPr>
    </w:p>
    <w:tbl>
      <w:tblPr>
        <w:tblStyle w:val="Tabelacomgrade"/>
        <w:tblW w:w="10201" w:type="dxa"/>
        <w:tblLayout w:type="fixed"/>
        <w:tblLook w:val="04A0" w:firstRow="1" w:lastRow="0" w:firstColumn="1" w:lastColumn="0" w:noHBand="0" w:noVBand="1"/>
      </w:tblPr>
      <w:tblGrid>
        <w:gridCol w:w="8926"/>
        <w:gridCol w:w="1275"/>
      </w:tblGrid>
      <w:tr w:rsidR="00916648" w:rsidRPr="00106759" w14:paraId="037554B6" w14:textId="1386769D" w:rsidTr="00327E5D">
        <w:tc>
          <w:tcPr>
            <w:tcW w:w="8926" w:type="dxa"/>
          </w:tcPr>
          <w:p w14:paraId="7ED438BC" w14:textId="6C4E0E6A" w:rsidR="00916648" w:rsidRPr="00106759" w:rsidRDefault="00916648" w:rsidP="00374BB3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b/>
                <w:bCs/>
                <w:sz w:val="24"/>
                <w:szCs w:val="24"/>
              </w:rPr>
              <w:t>VERIFICAÇÃO COMUM A TODAS AS CONTRATAÇÕES</w:t>
            </w:r>
          </w:p>
        </w:tc>
        <w:tc>
          <w:tcPr>
            <w:tcW w:w="1275" w:type="dxa"/>
          </w:tcPr>
          <w:p w14:paraId="176C6210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sz w:val="24"/>
                <w:szCs w:val="24"/>
              </w:rPr>
              <w:t>ESTADO</w:t>
            </w:r>
          </w:p>
          <w:p w14:paraId="2E91772A" w14:textId="4AA229A9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sz w:val="24"/>
                <w:szCs w:val="24"/>
              </w:rPr>
              <w:t>S/N/N.A.</w:t>
            </w:r>
          </w:p>
        </w:tc>
      </w:tr>
      <w:tr w:rsidR="00916648" w:rsidRPr="00106759" w14:paraId="6035CDE6" w14:textId="17E8F8D1" w:rsidTr="00327E5D">
        <w:tc>
          <w:tcPr>
            <w:tcW w:w="8926" w:type="dxa"/>
          </w:tcPr>
          <w:p w14:paraId="54FF4639" w14:textId="50861FD7" w:rsidR="00916648" w:rsidRPr="00106759" w:rsidRDefault="00E15A08" w:rsidP="000817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 Consta a solicitação/requisição do objeto, elaborada pelo agente ou setor competente? </w:t>
            </w:r>
          </w:p>
        </w:tc>
        <w:tc>
          <w:tcPr>
            <w:tcW w:w="1275" w:type="dxa"/>
          </w:tcPr>
          <w:p w14:paraId="0611EAA7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2D1A9DFB" w14:textId="77777777" w:rsidTr="00327E5D">
        <w:tc>
          <w:tcPr>
            <w:tcW w:w="8926" w:type="dxa"/>
          </w:tcPr>
          <w:p w14:paraId="5CDA46C4" w14:textId="75387A19" w:rsidR="00916648" w:rsidRPr="00106759" w:rsidRDefault="00E15A08" w:rsidP="000817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.1. </w:t>
            </w:r>
            <w:r w:rsidR="00D4365B" w:rsidRPr="00093095">
              <w:rPr>
                <w:rFonts w:cstheme="minorHAnsi"/>
                <w:sz w:val="24"/>
                <w:szCs w:val="24"/>
                <w:highlight w:val="yellow"/>
              </w:rPr>
              <w:t>Houve a inclusão da contratação no Plano Anual de Contratações, de acordo com o art. 11, §2º, da INS SEGES N. 1/2019?</w:t>
            </w:r>
          </w:p>
        </w:tc>
        <w:tc>
          <w:tcPr>
            <w:tcW w:w="1275" w:type="dxa"/>
          </w:tcPr>
          <w:p w14:paraId="3CD9A817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5ECECFA8" w14:textId="2A619EBB" w:rsidTr="00327E5D">
        <w:tc>
          <w:tcPr>
            <w:tcW w:w="8926" w:type="dxa"/>
          </w:tcPr>
          <w:p w14:paraId="0F377D4E" w14:textId="2016E0F0" w:rsidR="00916648" w:rsidRPr="00106759" w:rsidRDefault="00E15A08" w:rsidP="000817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916648" w:rsidRPr="00106759">
              <w:rPr>
                <w:rFonts w:cstheme="minorHAnsi"/>
                <w:sz w:val="24"/>
                <w:szCs w:val="24"/>
              </w:rPr>
              <w:t>. A autoridade competente da unidade demandante definiu o objeto a ser contratado de for</w:t>
            </w:r>
            <w:r w:rsidR="00916648">
              <w:rPr>
                <w:rFonts w:cstheme="minorHAnsi"/>
                <w:sz w:val="24"/>
                <w:szCs w:val="24"/>
              </w:rPr>
              <w:t xml:space="preserve">ma precisa, suficiente e clara, </w:t>
            </w:r>
            <w:r w:rsidR="00916648" w:rsidRPr="005649B8">
              <w:rPr>
                <w:rFonts w:cstheme="minorHAnsi"/>
                <w:sz w:val="24"/>
                <w:szCs w:val="24"/>
                <w:highlight w:val="yellow"/>
              </w:rPr>
              <w:t xml:space="preserve">de acordo com o </w:t>
            </w:r>
            <w:r w:rsidR="005649B8" w:rsidRPr="005649B8">
              <w:rPr>
                <w:rFonts w:cstheme="minorHAnsi"/>
                <w:sz w:val="24"/>
                <w:szCs w:val="24"/>
                <w:highlight w:val="yellow"/>
              </w:rPr>
              <w:t>artigo 4º-E, § 1º, inciso I, da Lei n. 13.979?</w:t>
            </w:r>
          </w:p>
        </w:tc>
        <w:tc>
          <w:tcPr>
            <w:tcW w:w="1275" w:type="dxa"/>
          </w:tcPr>
          <w:p w14:paraId="3F5C7C40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28FDF262" w14:textId="6AC8A9A0" w:rsidTr="00327E5D">
        <w:tc>
          <w:tcPr>
            <w:tcW w:w="8926" w:type="dxa"/>
          </w:tcPr>
          <w:p w14:paraId="4E44304E" w14:textId="6CE9D075" w:rsidR="00916648" w:rsidRPr="00106759" w:rsidRDefault="00E15A08" w:rsidP="000817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 A autoridade competente da unidade demandante justificou </w:t>
            </w:r>
            <w:r w:rsidR="005649B8" w:rsidRPr="00961EB0">
              <w:rPr>
                <w:rFonts w:cstheme="minorHAnsi"/>
                <w:sz w:val="24"/>
                <w:szCs w:val="24"/>
                <w:highlight w:val="yellow"/>
              </w:rPr>
              <w:t xml:space="preserve">simplificadamente </w:t>
            </w:r>
            <w:r w:rsidR="00916648" w:rsidRPr="00961EB0">
              <w:rPr>
                <w:rFonts w:cstheme="minorHAnsi"/>
                <w:sz w:val="24"/>
                <w:szCs w:val="24"/>
                <w:highlight w:val="yellow"/>
              </w:rPr>
              <w:t>a necessidade da contratação? (art.</w:t>
            </w:r>
            <w:r w:rsidR="005649B8" w:rsidRPr="00961EB0">
              <w:rPr>
                <w:rFonts w:cstheme="minorHAnsi"/>
                <w:sz w:val="24"/>
                <w:szCs w:val="24"/>
                <w:highlight w:val="yellow"/>
              </w:rPr>
              <w:t xml:space="preserve"> 4º-E, §1º, II, da Lei n. 13.979)</w:t>
            </w:r>
          </w:p>
        </w:tc>
        <w:tc>
          <w:tcPr>
            <w:tcW w:w="1275" w:type="dxa"/>
          </w:tcPr>
          <w:p w14:paraId="15ACB378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5CD7F693" w14:textId="2DA4A9BA" w:rsidTr="00327E5D">
        <w:tc>
          <w:tcPr>
            <w:tcW w:w="8926" w:type="dxa"/>
          </w:tcPr>
          <w:p w14:paraId="62406E65" w14:textId="4F266E6A" w:rsidR="00916648" w:rsidRPr="00106759" w:rsidRDefault="00E15A08" w:rsidP="0008175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.1. Há justificativa </w:t>
            </w:r>
            <w:r w:rsidR="00916648">
              <w:rPr>
                <w:rFonts w:cstheme="minorHAnsi"/>
                <w:sz w:val="24"/>
                <w:szCs w:val="24"/>
              </w:rPr>
              <w:t xml:space="preserve">fundamentada dos quantitativos </w:t>
            </w:r>
            <w:r w:rsidR="00916648" w:rsidRPr="00106759">
              <w:rPr>
                <w:rFonts w:cstheme="minorHAnsi"/>
                <w:sz w:val="24"/>
                <w:szCs w:val="24"/>
              </w:rPr>
              <w:t>requisitados, tais como demonstrativo de consumo dos exercícios anteriores, relatórios do almoxarifado e/ou outros dados objetivos que demonstrem o dimensionamento adequado da aquisição/contratação? (art. 8º e art. 15, §7º, II, da Lei 8.666/93)</w:t>
            </w:r>
          </w:p>
        </w:tc>
        <w:tc>
          <w:tcPr>
            <w:tcW w:w="1275" w:type="dxa"/>
          </w:tcPr>
          <w:p w14:paraId="33BC1248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0900BFDF" w14:textId="2A41D678" w:rsidTr="00327E5D">
        <w:tc>
          <w:tcPr>
            <w:tcW w:w="8926" w:type="dxa"/>
          </w:tcPr>
          <w:p w14:paraId="0D6579DD" w14:textId="5047A152" w:rsidR="00916648" w:rsidRPr="00106759" w:rsidRDefault="00E15A08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16648" w:rsidRPr="00106759">
              <w:rPr>
                <w:rFonts w:cstheme="minorHAnsi"/>
                <w:sz w:val="24"/>
                <w:szCs w:val="24"/>
              </w:rPr>
              <w:t>. Há termo de referência ou projeto básico elaborado pelo setor requisitante? (art. 9º, I</w:t>
            </w:r>
            <w:r w:rsidR="00881AA1">
              <w:rPr>
                <w:rFonts w:cstheme="minorHAnsi"/>
                <w:sz w:val="24"/>
                <w:szCs w:val="24"/>
              </w:rPr>
              <w:t xml:space="preserve">I 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do Decreto </w:t>
            </w:r>
            <w:r w:rsidR="00881AA1">
              <w:rPr>
                <w:rFonts w:cstheme="minorHAnsi"/>
                <w:sz w:val="24"/>
                <w:szCs w:val="24"/>
              </w:rPr>
              <w:t>10.024/19</w:t>
            </w:r>
            <w:r w:rsidR="00916648" w:rsidRPr="00106759">
              <w:rPr>
                <w:rFonts w:cstheme="minorHAnsi"/>
                <w:sz w:val="24"/>
                <w:szCs w:val="24"/>
              </w:rPr>
              <w:t>; art. 6º, IX, art. 7º, I e II, §2º, I, §7º e art. 14 da Lei 8.666/93)</w:t>
            </w:r>
          </w:p>
        </w:tc>
        <w:tc>
          <w:tcPr>
            <w:tcW w:w="1275" w:type="dxa"/>
          </w:tcPr>
          <w:p w14:paraId="7E5C4344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61F17061" w14:textId="6C7C6B00" w:rsidTr="00327E5D">
        <w:tc>
          <w:tcPr>
            <w:tcW w:w="8926" w:type="dxa"/>
          </w:tcPr>
          <w:p w14:paraId="17097C47" w14:textId="3853A97F" w:rsidR="00916648" w:rsidRPr="00106759" w:rsidRDefault="00E15A08" w:rsidP="00F219D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16648" w:rsidRPr="00106759">
              <w:rPr>
                <w:rFonts w:cstheme="minorHAnsi"/>
                <w:sz w:val="24"/>
                <w:szCs w:val="24"/>
              </w:rPr>
              <w:t>.1. O documento contendo as especificações e a quantidade estimada do bem observou as diretrizes do art. 15 da Lei 8.666/93?</w:t>
            </w:r>
          </w:p>
        </w:tc>
        <w:tc>
          <w:tcPr>
            <w:tcW w:w="1275" w:type="dxa"/>
          </w:tcPr>
          <w:p w14:paraId="33A45DAF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6640C289" w14:textId="77777777" w:rsidTr="00327E5D">
        <w:tc>
          <w:tcPr>
            <w:tcW w:w="8926" w:type="dxa"/>
          </w:tcPr>
          <w:p w14:paraId="7C74A2F0" w14:textId="446E2455" w:rsidR="00916648" w:rsidRPr="00C83F8C" w:rsidRDefault="00E15A08" w:rsidP="00F219D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16648">
              <w:rPr>
                <w:rFonts w:cstheme="minorHAnsi"/>
                <w:sz w:val="24"/>
                <w:szCs w:val="24"/>
              </w:rPr>
              <w:t>.2</w:t>
            </w:r>
            <w:r w:rsidR="00916648" w:rsidRPr="00106759">
              <w:rPr>
                <w:rFonts w:cstheme="minorHAnsi"/>
                <w:sz w:val="24"/>
                <w:szCs w:val="24"/>
              </w:rPr>
              <w:t>. Foram utilizados os modelos de minutas padronizados de Termos de Referência ou de Projeto Básico da Advocacia-Geral União?</w:t>
            </w:r>
            <w:r w:rsidR="00916648">
              <w:rPr>
                <w:rFonts w:cstheme="minorHAnsi"/>
                <w:sz w:val="24"/>
                <w:szCs w:val="24"/>
              </w:rPr>
              <w:t xml:space="preserve"> (Enunciado nº 6 do Manual de Boas Práticas Consultivas).</w:t>
            </w:r>
            <w:r w:rsidR="00916648" w:rsidRPr="00106759">
              <w:rPr>
                <w:rFonts w:cstheme="minorHAnsi"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219BDC42" w14:textId="77777777" w:rsidR="00916648" w:rsidRPr="00C83F8C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7538E132" w14:textId="77777777" w:rsidTr="00327E5D">
        <w:tc>
          <w:tcPr>
            <w:tcW w:w="8926" w:type="dxa"/>
          </w:tcPr>
          <w:p w14:paraId="66626820" w14:textId="23CF48A9" w:rsidR="00916648" w:rsidRPr="00106759" w:rsidRDefault="00E15A08" w:rsidP="00C83F8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  <w:r w:rsidR="00916648">
              <w:rPr>
                <w:rFonts w:cstheme="minorHAnsi"/>
                <w:sz w:val="24"/>
                <w:szCs w:val="24"/>
              </w:rPr>
              <w:t>.2</w:t>
            </w:r>
            <w:r w:rsidR="00916648" w:rsidRPr="00106759">
              <w:rPr>
                <w:rFonts w:cstheme="minorHAnsi"/>
                <w:sz w:val="24"/>
                <w:szCs w:val="24"/>
              </w:rPr>
              <w:t>.1. Foram justificadas e destacadas visualmente, no processo, eventuais alterações ou não utilização do modelo de termo de referência da AGU?</w:t>
            </w:r>
          </w:p>
        </w:tc>
        <w:tc>
          <w:tcPr>
            <w:tcW w:w="1275" w:type="dxa"/>
          </w:tcPr>
          <w:p w14:paraId="684189A3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0F162504" w14:textId="6758CFFA" w:rsidTr="00327E5D">
        <w:tc>
          <w:tcPr>
            <w:tcW w:w="8926" w:type="dxa"/>
          </w:tcPr>
          <w:p w14:paraId="4A894483" w14:textId="7CC99BA9" w:rsidR="00916648" w:rsidRPr="00106759" w:rsidRDefault="00E15A08" w:rsidP="00D14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16648" w:rsidRPr="00106759">
              <w:rPr>
                <w:rFonts w:cstheme="minorHAnsi"/>
                <w:sz w:val="24"/>
                <w:szCs w:val="24"/>
              </w:rPr>
              <w:t>. Encontra-se prevista a exigência de amostra ou prova de conceito para algum item?</w:t>
            </w:r>
          </w:p>
        </w:tc>
        <w:tc>
          <w:tcPr>
            <w:tcW w:w="1275" w:type="dxa"/>
          </w:tcPr>
          <w:p w14:paraId="0FD301CD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2368B485" w14:textId="6B29DC82" w:rsidTr="00327E5D">
        <w:tc>
          <w:tcPr>
            <w:tcW w:w="8926" w:type="dxa"/>
          </w:tcPr>
          <w:p w14:paraId="7AF851D8" w14:textId="1E582220" w:rsidR="00916648" w:rsidRPr="00106759" w:rsidRDefault="00E15A08" w:rsidP="00D1447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</w:t>
            </w:r>
            <w:r w:rsidR="00916648" w:rsidRPr="00106759">
              <w:rPr>
                <w:rFonts w:cstheme="minorHAnsi"/>
                <w:sz w:val="24"/>
                <w:szCs w:val="24"/>
              </w:rPr>
              <w:t>.1. A exigência está clara, precisa e acompanhada de metodologia de análise?</w:t>
            </w:r>
          </w:p>
        </w:tc>
        <w:tc>
          <w:tcPr>
            <w:tcW w:w="1275" w:type="dxa"/>
          </w:tcPr>
          <w:p w14:paraId="471BDAF8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32044324" w14:textId="40577D8B" w:rsidTr="00327E5D">
        <w:tc>
          <w:tcPr>
            <w:tcW w:w="8926" w:type="dxa"/>
          </w:tcPr>
          <w:p w14:paraId="17123EEA" w14:textId="38E16C36" w:rsidR="00916648" w:rsidRPr="00106759" w:rsidRDefault="00E15A08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6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 Consta a aprovação do termo de referência ou do projeto básico pela autoridade competente? (art. </w:t>
            </w:r>
            <w:r w:rsidR="00881AA1">
              <w:rPr>
                <w:rFonts w:cstheme="minorHAnsi"/>
                <w:sz w:val="24"/>
                <w:szCs w:val="24"/>
              </w:rPr>
              <w:t>14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, II, do Decreto </w:t>
            </w:r>
            <w:r w:rsidR="00881AA1">
              <w:rPr>
                <w:rFonts w:cstheme="minorHAnsi"/>
                <w:sz w:val="24"/>
                <w:szCs w:val="24"/>
              </w:rPr>
              <w:t>10.024/19</w:t>
            </w:r>
            <w:r w:rsidR="00916648" w:rsidRPr="00106759">
              <w:rPr>
                <w:rFonts w:cstheme="minorHAnsi"/>
                <w:sz w:val="24"/>
                <w:szCs w:val="24"/>
              </w:rPr>
              <w:t>; art</w:t>
            </w:r>
            <w:r w:rsidR="00916648" w:rsidRPr="00106759">
              <w:rPr>
                <w:rFonts w:cstheme="minorHAnsi"/>
                <w:bCs/>
                <w:sz w:val="24"/>
                <w:szCs w:val="24"/>
              </w:rPr>
              <w:t>. 7º, §2º, I da Lei 8.666/93</w:t>
            </w:r>
            <w:r w:rsidR="00916648" w:rsidRPr="00106759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23813940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6F3D7F37" w14:textId="33C805AD" w:rsidTr="00327E5D">
        <w:tc>
          <w:tcPr>
            <w:tcW w:w="8926" w:type="dxa"/>
          </w:tcPr>
          <w:p w14:paraId="1423D67A" w14:textId="77777777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7. Constam estimativas dos preços, obtidas por meio de, no mínimo, um dos seguintes parâmetros (art. 4º-E da Lei 13.979/20):</w:t>
            </w:r>
          </w:p>
          <w:p w14:paraId="3DE7C99B" w14:textId="77777777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a) Portal de Compras do Governo Federal;</w:t>
            </w:r>
          </w:p>
          <w:p w14:paraId="002E1D7F" w14:textId="77777777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b) pesquisa publicada em mídia especializada;</w:t>
            </w:r>
          </w:p>
          <w:p w14:paraId="042E50FB" w14:textId="77777777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 xml:space="preserve">c) sítios eletrônicos especializados ou de domínio amplo; </w:t>
            </w:r>
          </w:p>
          <w:p w14:paraId="7FE5575E" w14:textId="77777777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d) contratações similares de outros entes públicos; ou</w:t>
            </w:r>
          </w:p>
          <w:p w14:paraId="372A5CF9" w14:textId="6D8040F4" w:rsidR="0091664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e) pesquisa realizada com os potenciais fornecedores</w:t>
            </w:r>
          </w:p>
        </w:tc>
        <w:tc>
          <w:tcPr>
            <w:tcW w:w="1275" w:type="dxa"/>
          </w:tcPr>
          <w:p w14:paraId="08D357D4" w14:textId="77777777" w:rsidR="00916648" w:rsidRPr="00106759" w:rsidRDefault="0091664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1A98" w:rsidRPr="00106759" w14:paraId="6D191FA1" w14:textId="77777777" w:rsidTr="00327E5D">
        <w:tc>
          <w:tcPr>
            <w:tcW w:w="8926" w:type="dxa"/>
          </w:tcPr>
          <w:p w14:paraId="76856EAF" w14:textId="047CBA63" w:rsidR="009A1A98" w:rsidRPr="00980917" w:rsidRDefault="009A1A98" w:rsidP="009A1A98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980917">
              <w:rPr>
                <w:rFonts w:cstheme="minorHAnsi"/>
                <w:sz w:val="24"/>
                <w:szCs w:val="24"/>
                <w:highlight w:val="yellow"/>
              </w:rPr>
              <w:t>7.1. No caso de inexistir estimativa de preços, foi apresentada justificativa pela autoridade competente para a celebração do contrato nos termos do art. 4º-E, §2º da Lei nº 13.979/29?</w:t>
            </w:r>
          </w:p>
        </w:tc>
        <w:tc>
          <w:tcPr>
            <w:tcW w:w="1275" w:type="dxa"/>
          </w:tcPr>
          <w:p w14:paraId="77F42AC1" w14:textId="77777777" w:rsidR="009A1A98" w:rsidRPr="00106759" w:rsidRDefault="009A1A98" w:rsidP="00CB11E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CA7" w:rsidRPr="00106759" w14:paraId="53E14BA0" w14:textId="77777777" w:rsidTr="00327E5D">
        <w:tc>
          <w:tcPr>
            <w:tcW w:w="8926" w:type="dxa"/>
          </w:tcPr>
          <w:p w14:paraId="26501EC3" w14:textId="0FC311FB" w:rsidR="00FF6CA7" w:rsidRPr="00FF6CA7" w:rsidRDefault="00FF6CA7" w:rsidP="00FF6CA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FF6CA7">
              <w:rPr>
                <w:rFonts w:cstheme="minorHAnsi"/>
                <w:sz w:val="24"/>
                <w:szCs w:val="24"/>
                <w:highlight w:val="yellow"/>
              </w:rPr>
              <w:t>7.2 Consta manifestação da área técnica com análise dos preços obtidos na pesquisa?</w:t>
            </w:r>
          </w:p>
        </w:tc>
        <w:tc>
          <w:tcPr>
            <w:tcW w:w="1275" w:type="dxa"/>
          </w:tcPr>
          <w:p w14:paraId="6AB8F022" w14:textId="77777777" w:rsidR="00FF6CA7" w:rsidRPr="00106759" w:rsidRDefault="00FF6CA7" w:rsidP="00FF6CA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CA7" w:rsidRPr="00106759" w14:paraId="263681E5" w14:textId="14EDDDCE" w:rsidTr="00327E5D">
        <w:tc>
          <w:tcPr>
            <w:tcW w:w="8926" w:type="dxa"/>
          </w:tcPr>
          <w:p w14:paraId="2016D001" w14:textId="225362AF" w:rsidR="00FF6CA7" w:rsidRPr="00FF6CA7" w:rsidRDefault="00FF6CA7" w:rsidP="00FF6CA7">
            <w:pPr>
              <w:autoSpaceDE w:val="0"/>
              <w:autoSpaceDN w:val="0"/>
              <w:adjustRightInd w:val="0"/>
              <w:jc w:val="both"/>
              <w:rPr>
                <w:rFonts w:eastAsia="Droid Sans Fallback" w:cstheme="minorHAnsi"/>
                <w:kern w:val="3"/>
                <w:sz w:val="24"/>
                <w:szCs w:val="24"/>
                <w:highlight w:val="yellow"/>
                <w:lang w:eastAsia="zh-CN" w:bidi="hi-IN"/>
              </w:rPr>
            </w:pPr>
            <w:r w:rsidRPr="00FF6CA7">
              <w:rPr>
                <w:sz w:val="24"/>
                <w:szCs w:val="24"/>
                <w:highlight w:val="yellow"/>
              </w:rPr>
              <w:t>7.3. Decidindo-se pela contratação em preço superior ao valor obtido na pesquisa de preços, nos termos do art. 4º-E §3º da Lei 13.979/20, consta justificativa nos autos para tanto?</w:t>
            </w:r>
          </w:p>
        </w:tc>
        <w:tc>
          <w:tcPr>
            <w:tcW w:w="1275" w:type="dxa"/>
          </w:tcPr>
          <w:p w14:paraId="4F30D9B3" w14:textId="77777777" w:rsidR="00FF6CA7" w:rsidRPr="00106759" w:rsidRDefault="00FF6CA7" w:rsidP="00FF6CA7">
            <w:pPr>
              <w:autoSpaceDE w:val="0"/>
              <w:autoSpaceDN w:val="0"/>
              <w:adjustRightInd w:val="0"/>
              <w:jc w:val="both"/>
              <w:rPr>
                <w:rFonts w:eastAsia="Droid Sans Fallback" w:cstheme="minorHAnsi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916648" w:rsidRPr="00106759" w14:paraId="44214276" w14:textId="77777777" w:rsidTr="00327E5D">
        <w:tc>
          <w:tcPr>
            <w:tcW w:w="8926" w:type="dxa"/>
          </w:tcPr>
          <w:p w14:paraId="6F61C99E" w14:textId="31A5EB62" w:rsidR="00916648" w:rsidRPr="00106759" w:rsidRDefault="00E15A08" w:rsidP="00C83F8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. Tratando-se de atividade de custeio, foi observado o art. </w:t>
            </w:r>
            <w:r w:rsidR="007C7163">
              <w:rPr>
                <w:rFonts w:cstheme="minorHAnsi"/>
                <w:sz w:val="24"/>
                <w:szCs w:val="24"/>
              </w:rPr>
              <w:t>3</w:t>
            </w:r>
            <w:r w:rsidR="00916648" w:rsidRPr="00106759">
              <w:rPr>
                <w:rFonts w:cstheme="minorHAnsi"/>
                <w:sz w:val="24"/>
                <w:szCs w:val="24"/>
              </w:rPr>
              <w:t xml:space="preserve">º do Decreto </w:t>
            </w:r>
            <w:r w:rsidR="007C7163">
              <w:rPr>
                <w:rFonts w:cstheme="minorHAnsi"/>
                <w:sz w:val="24"/>
                <w:szCs w:val="24"/>
              </w:rPr>
              <w:t>10.193/2019</w:t>
            </w:r>
            <w:r w:rsidR="00916648">
              <w:rPr>
                <w:rFonts w:cstheme="minorHAnsi"/>
                <w:sz w:val="24"/>
                <w:szCs w:val="24"/>
              </w:rPr>
              <w:t xml:space="preserve"> c/c art. 3º da Portaria MP nº 249/2012</w:t>
            </w:r>
            <w:r w:rsidR="00916648" w:rsidRPr="00106759">
              <w:rPr>
                <w:rFonts w:cstheme="minorHAnsi"/>
                <w:sz w:val="24"/>
                <w:szCs w:val="24"/>
              </w:rPr>
              <w:t>?</w:t>
            </w:r>
          </w:p>
        </w:tc>
        <w:tc>
          <w:tcPr>
            <w:tcW w:w="1275" w:type="dxa"/>
          </w:tcPr>
          <w:p w14:paraId="15809C20" w14:textId="77777777" w:rsidR="00916648" w:rsidRPr="00106759" w:rsidRDefault="00916648" w:rsidP="00E70E3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4B3203FD" w14:textId="3573C9D9" w:rsidTr="00327E5D">
        <w:tc>
          <w:tcPr>
            <w:tcW w:w="8926" w:type="dxa"/>
          </w:tcPr>
          <w:p w14:paraId="77AB802C" w14:textId="77777777" w:rsidR="00B625C3" w:rsidRPr="00B625C3" w:rsidRDefault="00B625C3" w:rsidP="00B625C3">
            <w:pPr>
              <w:spacing w:after="4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B625C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 xml:space="preserve">9. Consta indicação do recurso orçamentário próprio para a despesa e da respectiva rubrica, caso não seja SRP? (art. 8º, IV, do Decreto 10.024/19 e </w:t>
            </w:r>
            <w:proofErr w:type="spellStart"/>
            <w:r w:rsidRPr="00B625C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arts</w:t>
            </w:r>
            <w:proofErr w:type="spellEnd"/>
            <w:r w:rsidRPr="00B625C3"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  <w:t>. 7º, § 2º, III, 14 e 38, caput, da Lei 8.666/93)  </w:t>
            </w:r>
          </w:p>
          <w:p w14:paraId="0961174B" w14:textId="77777777" w:rsidR="00B625C3" w:rsidRPr="00B625C3" w:rsidRDefault="00B625C3" w:rsidP="00B625C3">
            <w:pPr>
              <w:spacing w:after="48"/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pt-BR"/>
              </w:rPr>
            </w:pPr>
            <w:r w:rsidRPr="00B625C3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OBS 1: a estimativa de impacto orçamentário-financeiro da despesa prevista no art. 16, inc. I da LC 101/2000 e a decla</w:t>
            </w:r>
            <w:bookmarkStart w:id="0" w:name="_GoBack"/>
            <w:bookmarkEnd w:id="0"/>
            <w:r w:rsidRPr="00B625C3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ração prevista no art. 16, II do mesmo diploma encontram-se suspensas para "programas públicos destinados ao enfrentamento do contexto de calamidade gerado pela disseminação de COVID-19", conforme decisão na MC na ADI 6.357/DF, relator Min. Alexandre de Moraes,  prolatada em 29/03/2020, que tem o seguinte dispositivo:</w:t>
            </w:r>
          </w:p>
          <w:p w14:paraId="39108E5B" w14:textId="54EB4664" w:rsidR="00916648" w:rsidRPr="00B625C3" w:rsidRDefault="00B625C3" w:rsidP="00B625C3">
            <w:pPr>
              <w:spacing w:after="48"/>
              <w:jc w:val="both"/>
              <w:rPr>
                <w:rFonts w:ascii="Times New Roman, Times, serif" w:eastAsia="Times New Roman" w:hAnsi="Times New Roman, Times, serif" w:cs="Times New Roman"/>
                <w:color w:val="000000"/>
                <w:sz w:val="20"/>
                <w:szCs w:val="20"/>
                <w:lang w:eastAsia="pt-BR"/>
              </w:rPr>
            </w:pPr>
            <w:r w:rsidRPr="00B625C3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Diante do exposto, CONCEDO A MEDIDA CAUTELAR na presente ação direta de inconstitucionalidade, ad referendum do Plenário desta SUPREMA CORTE, com base no art. 21, V, do RISTF, para CONCEDER INTERPRETAÇÃO CONFORME À CONSTITUIÇÃO FEDERAL, aos artigos 14, 16, 17 e 24 da Lei de Responsabilidade Fiscal e 114, caput, in fine e § 14, da Lei de Diretrizes Orçamentárias/2020, para, durante a emergência em Saúde Pública de importância nacional e o estado de calamidade pública decorrente de COVID-19, afastar a exigência de demonstração de adequação e compensação orçamentárias em relação à criação/expansão de programas públicos destinados ao enfrentamento do contexto de calamidade gerado pela disseminação de COVID-19.</w:t>
            </w:r>
          </w:p>
        </w:tc>
        <w:tc>
          <w:tcPr>
            <w:tcW w:w="1275" w:type="dxa"/>
          </w:tcPr>
          <w:p w14:paraId="311D205B" w14:textId="77777777" w:rsidR="00916648" w:rsidRPr="00106759" w:rsidRDefault="00916648" w:rsidP="00E70E3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16648" w:rsidRPr="00106759" w14:paraId="5AE6113D" w14:textId="77777777" w:rsidTr="00327E5D">
        <w:tc>
          <w:tcPr>
            <w:tcW w:w="8926" w:type="dxa"/>
          </w:tcPr>
          <w:p w14:paraId="5F36A7B8" w14:textId="513A06E7" w:rsidR="00916648" w:rsidRPr="00106759" w:rsidRDefault="00916648" w:rsidP="004C688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bookmarkStart w:id="1" w:name="_Hlk35880562"/>
            <w:r w:rsidRPr="00106759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0</w:t>
            </w:r>
            <w:r w:rsidRPr="00106759">
              <w:rPr>
                <w:rFonts w:cstheme="minorHAnsi"/>
                <w:sz w:val="24"/>
                <w:szCs w:val="24"/>
              </w:rPr>
              <w:t xml:space="preserve">. Foram utilizados os modelos padronizados de instrumentos contratuais da Advocacia-Geral União? </w:t>
            </w:r>
            <w:r>
              <w:rPr>
                <w:rFonts w:cstheme="minorHAnsi"/>
                <w:sz w:val="24"/>
                <w:szCs w:val="24"/>
              </w:rPr>
              <w:t>(Enunciado nº 6 do Manual de Boas Práticas Consultivas).</w:t>
            </w:r>
            <w:r w:rsidRPr="00106759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4ECD28D7" w14:textId="77777777" w:rsidR="00916648" w:rsidRPr="00106759" w:rsidRDefault="00916648" w:rsidP="005748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bookmarkEnd w:id="1"/>
      <w:tr w:rsidR="00916648" w:rsidRPr="0080765D" w14:paraId="5C936BB4" w14:textId="77777777" w:rsidTr="00327E5D">
        <w:tc>
          <w:tcPr>
            <w:tcW w:w="8926" w:type="dxa"/>
          </w:tcPr>
          <w:p w14:paraId="47302874" w14:textId="1AF540B6" w:rsidR="00961EB0" w:rsidRPr="00D3315F" w:rsidRDefault="00916648" w:rsidP="00961EB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06759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0</w:t>
            </w:r>
            <w:r w:rsidRPr="00106759">
              <w:rPr>
                <w:rFonts w:cstheme="minorHAnsi"/>
                <w:sz w:val="24"/>
                <w:szCs w:val="24"/>
              </w:rPr>
              <w:t xml:space="preserve">.1. Eventuais alterações nos modelos ou </w:t>
            </w:r>
            <w:r>
              <w:rPr>
                <w:rFonts w:cstheme="minorHAnsi"/>
                <w:sz w:val="24"/>
                <w:szCs w:val="24"/>
              </w:rPr>
              <w:t>su</w:t>
            </w:r>
            <w:r w:rsidRPr="00106759">
              <w:rPr>
                <w:rFonts w:cstheme="minorHAnsi"/>
                <w:sz w:val="24"/>
                <w:szCs w:val="24"/>
              </w:rPr>
              <w:t>a não utilização foram devidamente justificadas no processo?</w:t>
            </w:r>
          </w:p>
        </w:tc>
        <w:tc>
          <w:tcPr>
            <w:tcW w:w="1275" w:type="dxa"/>
          </w:tcPr>
          <w:p w14:paraId="1D8CB512" w14:textId="23BA6396" w:rsidR="00916648" w:rsidRPr="0080765D" w:rsidRDefault="00916648" w:rsidP="005748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F6CA7" w:rsidRPr="0080765D" w14:paraId="19F0DD83" w14:textId="77777777" w:rsidTr="00327E5D">
        <w:tc>
          <w:tcPr>
            <w:tcW w:w="8926" w:type="dxa"/>
          </w:tcPr>
          <w:p w14:paraId="715BAA8E" w14:textId="77777777" w:rsidR="00FF6CA7" w:rsidRPr="00961EB0" w:rsidRDefault="00FF6CA7" w:rsidP="00FF6CA7">
            <w:pPr>
              <w:pStyle w:val="NormalWeb"/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</w:pPr>
            <w:r w:rsidRPr="00961EB0"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  <w:t>1</w:t>
            </w:r>
            <w:r w:rsidRPr="00961EB0">
              <w:rPr>
                <w:rFonts w:asciiTheme="minorHAnsi" w:eastAsiaTheme="minorHAnsi" w:hAnsiTheme="minorHAnsi" w:cstheme="minorHAnsi"/>
                <w:highlight w:val="yellow"/>
                <w:lang w:eastAsia="en-US"/>
              </w:rPr>
              <w:t xml:space="preserve">. Havendo dispensa de apresentação de documentação de regularidade fiscal e trabalhista, nos termos do art. 4º-F da Lei nº 13.979/20, consta decisão justificada nesse sentido da autoridade competente para a celebração do contrato? </w:t>
            </w:r>
          </w:p>
          <w:p w14:paraId="65720D78" w14:textId="4DC037CB" w:rsidR="00FF6CA7" w:rsidRPr="00106759" w:rsidRDefault="00FF6CA7" w:rsidP="00FF6CA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961EB0">
              <w:rPr>
                <w:rFonts w:cstheme="minorHAnsi"/>
                <w:color w:val="FF0000"/>
                <w:highlight w:val="yellow"/>
              </w:rPr>
              <w:t>OBS: Tal dispensa não inclui a exigência de apresentação de prova de regularidade relativa à Seguridade Social e o cumprimento do disposto no inciso XXXIII do caput do art. 7º da Constituição</w:t>
            </w:r>
            <w:r>
              <w:rPr>
                <w:rFonts w:cstheme="minorHAnsi"/>
                <w:color w:val="FF0000"/>
              </w:rPr>
              <w:t>.</w:t>
            </w:r>
          </w:p>
        </w:tc>
        <w:tc>
          <w:tcPr>
            <w:tcW w:w="1275" w:type="dxa"/>
          </w:tcPr>
          <w:p w14:paraId="637BA835" w14:textId="77777777" w:rsidR="00FF6CA7" w:rsidRPr="0080765D" w:rsidRDefault="00FF6CA7" w:rsidP="005748F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6B4538AC" w14:textId="2E1D522E" w:rsidR="00187AB9" w:rsidRDefault="00187AB9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449AB6" w14:textId="77777777" w:rsidR="00FA4D17" w:rsidRDefault="00FA4D17" w:rsidP="00A140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275"/>
      </w:tblGrid>
      <w:tr w:rsidR="005C3026" w:rsidRPr="00163F8E" w14:paraId="5365296A" w14:textId="77777777" w:rsidTr="005C3026">
        <w:tc>
          <w:tcPr>
            <w:tcW w:w="8359" w:type="dxa"/>
          </w:tcPr>
          <w:p w14:paraId="3958A665" w14:textId="3D8CEF69" w:rsidR="005C3026" w:rsidRPr="00163F8E" w:rsidRDefault="005C3026" w:rsidP="00BD15D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b/>
                <w:bCs/>
                <w:sz w:val="24"/>
                <w:szCs w:val="24"/>
              </w:rPr>
              <w:t xml:space="preserve">LISTA DE VERIFICAÇÃO ESPECÍFICA PARA CONTRATAÇÃO PRECEDIDA DE LICITAÇÃO </w:t>
            </w:r>
          </w:p>
        </w:tc>
        <w:tc>
          <w:tcPr>
            <w:tcW w:w="1275" w:type="dxa"/>
          </w:tcPr>
          <w:p w14:paraId="3F08FD88" w14:textId="77777777" w:rsidR="005C3026" w:rsidRPr="00163F8E" w:rsidRDefault="005C3026" w:rsidP="005038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163F8E">
              <w:rPr>
                <w:rFonts w:cstheme="minorHAnsi"/>
                <w:szCs w:val="24"/>
              </w:rPr>
              <w:t>ESTADO</w:t>
            </w:r>
          </w:p>
          <w:p w14:paraId="18F43B9F" w14:textId="0D8AA278" w:rsidR="005C3026" w:rsidRPr="00163F8E" w:rsidRDefault="005C3026" w:rsidP="005038AC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163F8E">
              <w:rPr>
                <w:rFonts w:cstheme="minorHAnsi"/>
                <w:szCs w:val="24"/>
              </w:rPr>
              <w:t>S/N/N.A.</w:t>
            </w:r>
          </w:p>
        </w:tc>
      </w:tr>
      <w:tr w:rsidR="005C3026" w:rsidRPr="00163F8E" w14:paraId="2B16C236" w14:textId="0979B725" w:rsidTr="005C3026">
        <w:tc>
          <w:tcPr>
            <w:tcW w:w="8359" w:type="dxa"/>
          </w:tcPr>
          <w:p w14:paraId="1DF36C78" w14:textId="267BED1C" w:rsidR="005C3026" w:rsidRDefault="005C3026" w:rsidP="004C6886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2</w:t>
            </w:r>
            <w:r w:rsidRPr="00163F8E">
              <w:rPr>
                <w:rFonts w:cstheme="minorHAnsi"/>
                <w:sz w:val="24"/>
                <w:szCs w:val="24"/>
              </w:rPr>
              <w:t>. Houve justificativa do enquadramento ou não do objeto como sendo bem comum? (</w:t>
            </w:r>
            <w:r>
              <w:rPr>
                <w:rFonts w:cstheme="minorHAnsi"/>
                <w:sz w:val="24"/>
                <w:szCs w:val="24"/>
              </w:rPr>
              <w:t>ON AGU nº 54/2014</w:t>
            </w:r>
            <w:r w:rsidRPr="00163F8E">
              <w:rPr>
                <w:rFonts w:cstheme="minorHAnsi"/>
                <w:sz w:val="24"/>
                <w:szCs w:val="24"/>
              </w:rPr>
              <w:t>)</w:t>
            </w:r>
          </w:p>
          <w:p w14:paraId="72907649" w14:textId="63704E99" w:rsidR="005C3026" w:rsidRPr="00163F8E" w:rsidRDefault="005C3026" w:rsidP="00A604D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FF0000"/>
                <w:sz w:val="24"/>
                <w:szCs w:val="24"/>
              </w:rPr>
              <w:t>ON AGU</w:t>
            </w:r>
            <w:r w:rsidRPr="00A604DB">
              <w:rPr>
                <w:rFonts w:cstheme="minorHAnsi"/>
                <w:color w:val="FF0000"/>
                <w:sz w:val="24"/>
                <w:szCs w:val="24"/>
              </w:rPr>
              <w:t xml:space="preserve"> nº 54/2014: </w:t>
            </w:r>
            <w:r>
              <w:rPr>
                <w:color w:val="FF0000"/>
              </w:rPr>
              <w:t>C</w:t>
            </w:r>
            <w:r w:rsidRPr="00A604DB">
              <w:rPr>
                <w:color w:val="FF0000"/>
              </w:rPr>
              <w:t xml:space="preserve">ompete ao agente ou setor técnico da </w:t>
            </w:r>
            <w:r>
              <w:rPr>
                <w:color w:val="FF0000"/>
              </w:rPr>
              <w:t>A</w:t>
            </w:r>
            <w:r w:rsidRPr="00A604DB">
              <w:rPr>
                <w:color w:val="FF0000"/>
              </w:rPr>
              <w:t>dministração declarar que o objeto licitatório é de natureza comum para efeito de utilização da modalidade pregão e definir se o objeto corresponde a obra ou serviço de engenharia, sendo atribuição do órgão jurídico analisar o devido enquadramento da modalidade licitatória aplicável</w:t>
            </w:r>
            <w:r>
              <w:rPr>
                <w:color w:val="FF0000"/>
              </w:rPr>
              <w:t>.</w:t>
            </w:r>
          </w:p>
        </w:tc>
        <w:tc>
          <w:tcPr>
            <w:tcW w:w="1275" w:type="dxa"/>
          </w:tcPr>
          <w:p w14:paraId="48166171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6A735D62" w14:textId="7AECC6D5" w:rsidTr="005C3026">
        <w:tc>
          <w:tcPr>
            <w:tcW w:w="8359" w:type="dxa"/>
          </w:tcPr>
          <w:p w14:paraId="2325567A" w14:textId="546D8D01" w:rsidR="005C3026" w:rsidRPr="00163F8E" w:rsidRDefault="005C3026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1A2EDAF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33D3041D" w14:textId="331B277A" w:rsidTr="005C3026">
        <w:tc>
          <w:tcPr>
            <w:tcW w:w="8359" w:type="dxa"/>
          </w:tcPr>
          <w:p w14:paraId="66D27B59" w14:textId="7C1C85FF" w:rsidR="005C3026" w:rsidRPr="00163F8E" w:rsidRDefault="005C3026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3</w:t>
            </w:r>
            <w:r w:rsidRPr="00163F8E">
              <w:rPr>
                <w:rFonts w:cstheme="minorHAnsi"/>
                <w:sz w:val="24"/>
                <w:szCs w:val="24"/>
              </w:rPr>
              <w:t xml:space="preserve">. Sendo adotado o pregão, a autoridade competente designou o pregoeiro e a respectiva equipe de apoio? (art. 3º, IV, §§1º e 2º da Lei </w:t>
            </w:r>
            <w:r>
              <w:rPr>
                <w:rFonts w:cstheme="minorHAnsi"/>
                <w:sz w:val="24"/>
                <w:szCs w:val="24"/>
              </w:rPr>
              <w:t>10.520/02, art</w:t>
            </w:r>
            <w:r w:rsidRPr="00163F8E">
              <w:rPr>
                <w:rFonts w:cstheme="minorHAnsi"/>
                <w:sz w:val="24"/>
                <w:szCs w:val="24"/>
              </w:rPr>
              <w:t xml:space="preserve">.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163F8E">
              <w:rPr>
                <w:rFonts w:cstheme="minorHAnsi"/>
                <w:sz w:val="24"/>
                <w:szCs w:val="24"/>
              </w:rPr>
              <w:t xml:space="preserve">º, </w:t>
            </w:r>
            <w:r>
              <w:rPr>
                <w:rFonts w:cstheme="minorHAnsi"/>
                <w:sz w:val="24"/>
                <w:szCs w:val="24"/>
              </w:rPr>
              <w:t>VI</w:t>
            </w:r>
            <w:r w:rsidRPr="00163F8E">
              <w:rPr>
                <w:rFonts w:cstheme="minorHAnsi"/>
                <w:sz w:val="24"/>
                <w:szCs w:val="24"/>
              </w:rPr>
              <w:t xml:space="preserve"> do Decreto </w:t>
            </w:r>
            <w:r>
              <w:rPr>
                <w:rFonts w:cstheme="minorHAnsi"/>
                <w:sz w:val="24"/>
                <w:szCs w:val="24"/>
              </w:rPr>
              <w:t>10.024/19</w:t>
            </w:r>
            <w:r w:rsidRPr="00163F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0D418AF0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5115F0FF" w14:textId="714ACDEC" w:rsidTr="005C3026">
        <w:tc>
          <w:tcPr>
            <w:tcW w:w="8359" w:type="dxa"/>
          </w:tcPr>
          <w:p w14:paraId="4DDDCD33" w14:textId="52B750F9" w:rsidR="005C3026" w:rsidRPr="00163F8E" w:rsidRDefault="005C3026" w:rsidP="00A604DB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4</w:t>
            </w:r>
            <w:r w:rsidRPr="00163F8E">
              <w:rPr>
                <w:rFonts w:cstheme="minorHAnsi"/>
                <w:sz w:val="24"/>
                <w:szCs w:val="24"/>
              </w:rPr>
              <w:t>. Caso tenha ha</w:t>
            </w:r>
            <w:r>
              <w:rPr>
                <w:rFonts w:cstheme="minorHAnsi"/>
                <w:sz w:val="24"/>
                <w:szCs w:val="24"/>
              </w:rPr>
              <w:t xml:space="preserve">vido exigência de amostra, ela </w:t>
            </w:r>
            <w:r w:rsidRPr="00163F8E">
              <w:rPr>
                <w:rFonts w:cstheme="minorHAnsi"/>
                <w:sz w:val="24"/>
                <w:szCs w:val="24"/>
              </w:rPr>
              <w:t xml:space="preserve">está prevista somente em relação ao vencedor e, tratando-se de pregão, apenas na fase de aceitação, após a etapa de lances? </w:t>
            </w:r>
            <w:r w:rsidRPr="00A604DB">
              <w:rPr>
                <w:rFonts w:cstheme="minorHAnsi"/>
                <w:sz w:val="24"/>
                <w:szCs w:val="24"/>
              </w:rPr>
              <w:t xml:space="preserve">(Art. 43, IV e V, da Lei 8.666/93) </w:t>
            </w:r>
          </w:p>
        </w:tc>
        <w:tc>
          <w:tcPr>
            <w:tcW w:w="1275" w:type="dxa"/>
          </w:tcPr>
          <w:p w14:paraId="6B78D4B8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7F7502F8" w14:textId="48FAEE7D" w:rsidTr="005C3026">
        <w:tc>
          <w:tcPr>
            <w:tcW w:w="8359" w:type="dxa"/>
          </w:tcPr>
          <w:p w14:paraId="51CB4DD0" w14:textId="66408AA4" w:rsidR="005C3026" w:rsidRPr="00163F8E" w:rsidRDefault="005C3026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5</w:t>
            </w:r>
            <w:r w:rsidRPr="00163F8E">
              <w:rPr>
                <w:rFonts w:cstheme="minorHAnsi"/>
                <w:sz w:val="24"/>
                <w:szCs w:val="24"/>
              </w:rPr>
              <w:t xml:space="preserve">. Há autorização da autoridade competente permitindo o início do procedimento licitatório? (art. 38, caput, da Lei </w:t>
            </w:r>
            <w:r>
              <w:rPr>
                <w:rFonts w:cstheme="minorHAnsi"/>
                <w:sz w:val="24"/>
                <w:szCs w:val="24"/>
              </w:rPr>
              <w:t>8.666/93 e art</w:t>
            </w:r>
            <w:r w:rsidRPr="00163F8E">
              <w:rPr>
                <w:rFonts w:cstheme="minorHAnsi"/>
                <w:sz w:val="24"/>
                <w:szCs w:val="24"/>
              </w:rPr>
              <w:t>. 8º,</w:t>
            </w:r>
            <w:r>
              <w:rPr>
                <w:rFonts w:cstheme="minorHAnsi"/>
                <w:sz w:val="24"/>
                <w:szCs w:val="24"/>
              </w:rPr>
              <w:t xml:space="preserve"> V do Decreto nº 10.024/19</w:t>
            </w:r>
            <w:r w:rsidRPr="00163F8E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3E4BB859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61229226" w14:textId="48487253" w:rsidTr="005C3026">
        <w:tc>
          <w:tcPr>
            <w:tcW w:w="8359" w:type="dxa"/>
          </w:tcPr>
          <w:p w14:paraId="46FFDF33" w14:textId="6EEF99CF" w:rsidR="005C3026" w:rsidRPr="00163F8E" w:rsidRDefault="005C3026" w:rsidP="00881AA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6</w:t>
            </w:r>
            <w:r w:rsidRPr="00163F8E">
              <w:rPr>
                <w:rFonts w:cstheme="minorHAnsi"/>
                <w:sz w:val="24"/>
                <w:szCs w:val="24"/>
              </w:rPr>
              <w:t xml:space="preserve">. Há minuta de edital? (art. 4º, III, da Lei 10.520/02, art. </w:t>
            </w:r>
            <w:r>
              <w:rPr>
                <w:rFonts w:cstheme="minorHAnsi"/>
                <w:sz w:val="24"/>
                <w:szCs w:val="24"/>
              </w:rPr>
              <w:t>8</w:t>
            </w:r>
            <w:r w:rsidRPr="00163F8E">
              <w:rPr>
                <w:rFonts w:cstheme="minorHAnsi"/>
                <w:sz w:val="24"/>
                <w:szCs w:val="24"/>
              </w:rPr>
              <w:t>º, V</w:t>
            </w:r>
            <w:r>
              <w:rPr>
                <w:rFonts w:cstheme="minorHAnsi"/>
                <w:sz w:val="24"/>
                <w:szCs w:val="24"/>
              </w:rPr>
              <w:t>II</w:t>
            </w:r>
            <w:r w:rsidRPr="00163F8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do Decreto nº 10.024/19</w:t>
            </w:r>
            <w:r w:rsidRPr="00163F8E">
              <w:rPr>
                <w:rFonts w:cstheme="minorHAnsi"/>
                <w:sz w:val="24"/>
                <w:szCs w:val="24"/>
              </w:rPr>
              <w:t xml:space="preserve"> e art. 40 da Lei 8.666/93)</w:t>
            </w:r>
          </w:p>
        </w:tc>
        <w:tc>
          <w:tcPr>
            <w:tcW w:w="1275" w:type="dxa"/>
          </w:tcPr>
          <w:p w14:paraId="7063E1BF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2F412B6D" w14:textId="77777777" w:rsidTr="005C3026">
        <w:tc>
          <w:tcPr>
            <w:tcW w:w="8359" w:type="dxa"/>
          </w:tcPr>
          <w:p w14:paraId="3AB70ADD" w14:textId="2808F1E0" w:rsidR="005C3026" w:rsidRPr="00163F8E" w:rsidRDefault="005C3026" w:rsidP="00A604DB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6</w:t>
            </w:r>
            <w:r w:rsidRPr="00163F8E">
              <w:rPr>
                <w:rFonts w:cstheme="minorHAnsi"/>
                <w:sz w:val="24"/>
                <w:szCs w:val="24"/>
              </w:rPr>
              <w:t>.1. Foram utilizados os modelos padronizados de instrumentos convocatórios da Advocacia-Geral União?</w:t>
            </w:r>
            <w:r>
              <w:rPr>
                <w:rFonts w:cstheme="minorHAnsi"/>
                <w:sz w:val="24"/>
                <w:szCs w:val="24"/>
              </w:rPr>
              <w:t xml:space="preserve"> (Enunciado nº 6 do Manual de Boas Práticas Consultivas).</w:t>
            </w:r>
            <w:r w:rsidRPr="00106759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63F8E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B2881DA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6C2D2D2F" w14:textId="7F8BC5B5" w:rsidTr="005C3026">
        <w:tc>
          <w:tcPr>
            <w:tcW w:w="8359" w:type="dxa"/>
          </w:tcPr>
          <w:p w14:paraId="064DA7DB" w14:textId="31962367" w:rsidR="005C3026" w:rsidRPr="00163F8E" w:rsidRDefault="005C3026" w:rsidP="00C83F8C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6</w:t>
            </w:r>
            <w:r w:rsidRPr="00163F8E">
              <w:rPr>
                <w:rFonts w:cstheme="minorHAnsi"/>
                <w:sz w:val="24"/>
                <w:szCs w:val="24"/>
              </w:rPr>
              <w:t xml:space="preserve">.1.1. Eventuais alterações nos modelos ou a não utilização, foram devidamente justificadas no processo? </w:t>
            </w:r>
          </w:p>
        </w:tc>
        <w:tc>
          <w:tcPr>
            <w:tcW w:w="1275" w:type="dxa"/>
          </w:tcPr>
          <w:p w14:paraId="001D2D5A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163F8E" w14:paraId="47093118" w14:textId="3F4B04C8" w:rsidTr="005C3026">
        <w:tc>
          <w:tcPr>
            <w:tcW w:w="8359" w:type="dxa"/>
          </w:tcPr>
          <w:p w14:paraId="2BF1B86D" w14:textId="08B84F00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63F8E">
              <w:rPr>
                <w:rFonts w:cstheme="minorHAnsi"/>
                <w:sz w:val="24"/>
                <w:szCs w:val="24"/>
              </w:rPr>
              <w:t>1</w:t>
            </w:r>
            <w:r w:rsidR="00E15A08">
              <w:rPr>
                <w:rFonts w:cstheme="minorHAnsi"/>
                <w:sz w:val="24"/>
                <w:szCs w:val="24"/>
              </w:rPr>
              <w:t>6</w:t>
            </w:r>
            <w:r w:rsidRPr="00163F8E">
              <w:rPr>
                <w:rFonts w:cstheme="minorHAnsi"/>
                <w:sz w:val="24"/>
                <w:szCs w:val="24"/>
              </w:rPr>
              <w:t>.2. A minuta de contrato ou de instrumento assemelhado constitui anexo à minuta do edital? (art. 40, §2º, III, da Lei 8.666/93)</w:t>
            </w:r>
          </w:p>
          <w:p w14:paraId="1C2B5FDC" w14:textId="178F39D5" w:rsidR="005C3026" w:rsidRPr="00163F8E" w:rsidRDefault="005C3026" w:rsidP="005C3026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163F8E">
              <w:rPr>
                <w:rFonts w:cstheme="minorHAnsi"/>
                <w:color w:val="FF0000"/>
                <w:sz w:val="24"/>
                <w:szCs w:val="24"/>
              </w:rPr>
              <w:t>Obs</w:t>
            </w:r>
            <w:r>
              <w:rPr>
                <w:rFonts w:cstheme="minorHAnsi"/>
                <w:color w:val="FF0000"/>
                <w:sz w:val="24"/>
                <w:szCs w:val="24"/>
              </w:rPr>
              <w:t>.</w:t>
            </w:r>
            <w:r w:rsidRPr="00163F8E">
              <w:rPr>
                <w:rFonts w:cstheme="minorHAnsi"/>
                <w:color w:val="FF0000"/>
                <w:sz w:val="24"/>
                <w:szCs w:val="24"/>
              </w:rPr>
              <w:t>: se a Administração Pública desejar substituir o contrato por outros instrumentos hábeis na forma do art. 62 da Lei 8.666/</w:t>
            </w:r>
            <w:r>
              <w:rPr>
                <w:rFonts w:cstheme="minorHAnsi"/>
                <w:color w:val="FF0000"/>
                <w:sz w:val="24"/>
                <w:szCs w:val="24"/>
              </w:rPr>
              <w:t>93, deverá justificar a decisão.</w:t>
            </w:r>
          </w:p>
        </w:tc>
        <w:tc>
          <w:tcPr>
            <w:tcW w:w="1275" w:type="dxa"/>
          </w:tcPr>
          <w:p w14:paraId="077CB554" w14:textId="77777777" w:rsidR="005C3026" w:rsidRPr="00163F8E" w:rsidRDefault="005C3026" w:rsidP="0052726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2D07495D" w14:textId="77777777" w:rsidR="0033051B" w:rsidRPr="003B5DD8" w:rsidRDefault="0033051B" w:rsidP="003305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Tabelacomgrade"/>
        <w:tblW w:w="9634" w:type="dxa"/>
        <w:tblLayout w:type="fixed"/>
        <w:tblLook w:val="04A0" w:firstRow="1" w:lastRow="0" w:firstColumn="1" w:lastColumn="0" w:noHBand="0" w:noVBand="1"/>
      </w:tblPr>
      <w:tblGrid>
        <w:gridCol w:w="8359"/>
        <w:gridCol w:w="141"/>
        <w:gridCol w:w="1134"/>
      </w:tblGrid>
      <w:tr w:rsidR="005C3026" w:rsidRPr="00BD15D6" w14:paraId="72C97270" w14:textId="2CE55D05" w:rsidTr="005C3026">
        <w:tc>
          <w:tcPr>
            <w:tcW w:w="8359" w:type="dxa"/>
          </w:tcPr>
          <w:p w14:paraId="184A3B16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D15D6">
              <w:rPr>
                <w:rFonts w:cstheme="minorHAnsi"/>
                <w:b/>
                <w:sz w:val="24"/>
                <w:szCs w:val="24"/>
              </w:rPr>
              <w:t xml:space="preserve">VERIFICAÇÃO </w:t>
            </w:r>
            <w:r w:rsidRPr="00BD15D6">
              <w:rPr>
                <w:rFonts w:cstheme="minorHAnsi"/>
                <w:b/>
                <w:sz w:val="24"/>
                <w:szCs w:val="24"/>
                <w:u w:val="single"/>
              </w:rPr>
              <w:t>ESPECÍFICA PARA SISTEMA DE REGISTRO DE PREÇOS</w:t>
            </w:r>
          </w:p>
        </w:tc>
        <w:tc>
          <w:tcPr>
            <w:tcW w:w="1275" w:type="dxa"/>
            <w:gridSpan w:val="2"/>
          </w:tcPr>
          <w:p w14:paraId="69640CE4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</w:rPr>
            </w:pPr>
            <w:r w:rsidRPr="00BD15D6">
              <w:rPr>
                <w:rFonts w:cstheme="minorHAnsi"/>
                <w:szCs w:val="24"/>
              </w:rPr>
              <w:t>ESTADO</w:t>
            </w:r>
          </w:p>
          <w:p w14:paraId="1D854810" w14:textId="67991626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4"/>
              </w:rPr>
            </w:pPr>
            <w:r w:rsidRPr="00BD15D6">
              <w:rPr>
                <w:rFonts w:cstheme="minorHAnsi"/>
                <w:szCs w:val="24"/>
              </w:rPr>
              <w:t>S / N / N.A.</w:t>
            </w:r>
          </w:p>
        </w:tc>
      </w:tr>
      <w:tr w:rsidR="005C3026" w:rsidRPr="00BD15D6" w14:paraId="7ACCC71C" w14:textId="27D5F2A7" w:rsidTr="005C3026">
        <w:tc>
          <w:tcPr>
            <w:tcW w:w="8359" w:type="dxa"/>
          </w:tcPr>
          <w:p w14:paraId="4E219E90" w14:textId="5E027071" w:rsidR="005C3026" w:rsidRPr="00BD15D6" w:rsidRDefault="00E15A08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  <w:r w:rsidR="005C3026" w:rsidRPr="00BD15D6">
              <w:rPr>
                <w:rFonts w:cstheme="minorHAnsi"/>
                <w:sz w:val="24"/>
                <w:szCs w:val="24"/>
              </w:rPr>
              <w:t>. Autoridade competente justificou a utilização do SRP com base em alguma das hipóteses previstas no artigo 3º do Decreto 7.892 de 23 de janeiro de 2013?</w:t>
            </w:r>
          </w:p>
        </w:tc>
        <w:tc>
          <w:tcPr>
            <w:tcW w:w="1275" w:type="dxa"/>
            <w:gridSpan w:val="2"/>
          </w:tcPr>
          <w:p w14:paraId="1F803790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1184F186" w14:textId="5F4654B7" w:rsidTr="005C3026">
        <w:tc>
          <w:tcPr>
            <w:tcW w:w="8359" w:type="dxa"/>
          </w:tcPr>
          <w:p w14:paraId="1CFF8458" w14:textId="33E0B821" w:rsidR="005C3026" w:rsidRPr="00BD15D6" w:rsidRDefault="00E15A08" w:rsidP="00764D8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. </w:t>
            </w:r>
            <w:r w:rsidR="00A05093">
              <w:rPr>
                <w:rFonts w:cstheme="minorHAnsi"/>
                <w:sz w:val="24"/>
                <w:szCs w:val="24"/>
              </w:rPr>
              <w:t>Foi realizado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 o procedimento de Intenção de Registro de Preços – IRP, visando </w:t>
            </w:r>
            <w:r w:rsidR="005C3026">
              <w:rPr>
                <w:rFonts w:cstheme="minorHAnsi"/>
                <w:sz w:val="24"/>
                <w:szCs w:val="24"/>
              </w:rPr>
              <w:t>a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o registro e </w:t>
            </w:r>
            <w:r w:rsidR="005C3026">
              <w:rPr>
                <w:rFonts w:cstheme="minorHAnsi"/>
                <w:sz w:val="24"/>
                <w:szCs w:val="24"/>
              </w:rPr>
              <w:t>à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 divulgação dos itens a serem licitados? (art. 4º e 5º, I, do decreto 7.892/13)</w:t>
            </w:r>
          </w:p>
        </w:tc>
        <w:tc>
          <w:tcPr>
            <w:tcW w:w="1275" w:type="dxa"/>
            <w:gridSpan w:val="2"/>
          </w:tcPr>
          <w:p w14:paraId="7C7479C6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09F6D156" w14:textId="5E14A703" w:rsidTr="005C3026">
        <w:tc>
          <w:tcPr>
            <w:tcW w:w="8359" w:type="dxa"/>
          </w:tcPr>
          <w:p w14:paraId="34325515" w14:textId="7FC1E7E2" w:rsidR="005C3026" w:rsidRPr="00BD15D6" w:rsidRDefault="00E15A08" w:rsidP="00764D89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.1. </w:t>
            </w:r>
            <w:bookmarkStart w:id="2" w:name="_Hlk4256808"/>
            <w:r w:rsidR="005C3026" w:rsidRPr="00BD15D6">
              <w:rPr>
                <w:rFonts w:cstheme="minorHAnsi"/>
                <w:sz w:val="24"/>
                <w:szCs w:val="24"/>
              </w:rPr>
              <w:t>No caso de dispensa da divulgação da Intenção de Registro de Preços – IRP, há justificativa do órgão gerenciador? (art. 4º, §1º, do Decreto 7.892/13)</w:t>
            </w:r>
            <w:bookmarkEnd w:id="2"/>
          </w:p>
        </w:tc>
        <w:tc>
          <w:tcPr>
            <w:tcW w:w="1275" w:type="dxa"/>
            <w:gridSpan w:val="2"/>
          </w:tcPr>
          <w:p w14:paraId="48E2BE1E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5E72E6BB" w14:textId="77777777" w:rsidTr="005C3026">
        <w:tc>
          <w:tcPr>
            <w:tcW w:w="8359" w:type="dxa"/>
          </w:tcPr>
          <w:p w14:paraId="5D0E8BCD" w14:textId="4E51EA06" w:rsidR="005C3026" w:rsidRPr="00BD15D6" w:rsidRDefault="00E15A08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.2. </w:t>
            </w:r>
            <w:r w:rsidR="005C3026">
              <w:rPr>
                <w:rFonts w:cstheme="minorHAnsi"/>
                <w:sz w:val="24"/>
                <w:szCs w:val="24"/>
              </w:rPr>
              <w:t>Foram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 adotadas </w:t>
            </w:r>
            <w:r w:rsidR="005C3026">
              <w:rPr>
                <w:rFonts w:cstheme="minorHAnsi"/>
                <w:sz w:val="24"/>
                <w:szCs w:val="24"/>
              </w:rPr>
              <w:t xml:space="preserve">pelo órgão gerenciador </w:t>
            </w:r>
            <w:r w:rsidR="005C3026" w:rsidRPr="00BD15D6">
              <w:rPr>
                <w:rFonts w:cstheme="minorHAnsi"/>
                <w:sz w:val="24"/>
                <w:szCs w:val="24"/>
              </w:rPr>
              <w:t>as medidas do §3º do art. 4º do Decreto 7.892/2013?</w:t>
            </w:r>
          </w:p>
        </w:tc>
        <w:tc>
          <w:tcPr>
            <w:tcW w:w="1275" w:type="dxa"/>
            <w:gridSpan w:val="2"/>
          </w:tcPr>
          <w:p w14:paraId="12160E8B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C83F8C" w14:paraId="3A5BD52E" w14:textId="23332492" w:rsidTr="005C3026">
        <w:tc>
          <w:tcPr>
            <w:tcW w:w="8359" w:type="dxa"/>
          </w:tcPr>
          <w:p w14:paraId="5CC98763" w14:textId="12CE52F4" w:rsidR="005C3026" w:rsidRPr="00BD15D6" w:rsidRDefault="00E15A08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5C3026" w:rsidRPr="00BD15D6">
              <w:rPr>
                <w:rFonts w:cstheme="minorHAnsi"/>
                <w:sz w:val="24"/>
                <w:szCs w:val="24"/>
              </w:rPr>
              <w:t>. No caso de existir</w:t>
            </w:r>
            <w:r w:rsidR="005C3026">
              <w:rPr>
                <w:rFonts w:cstheme="minorHAnsi"/>
                <w:sz w:val="24"/>
                <w:szCs w:val="24"/>
              </w:rPr>
              <w:t>em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 órgãos ou entidades participantes, </w:t>
            </w:r>
            <w:r w:rsidR="005C3026">
              <w:rPr>
                <w:rFonts w:cstheme="minorHAnsi"/>
                <w:sz w:val="24"/>
                <w:szCs w:val="24"/>
              </w:rPr>
              <w:t>o órgão gerenciador</w:t>
            </w:r>
            <w:r w:rsidR="005C3026" w:rsidRPr="00BD15D6">
              <w:rPr>
                <w:rFonts w:cstheme="minorHAnsi"/>
                <w:sz w:val="24"/>
                <w:szCs w:val="24"/>
              </w:rPr>
              <w:t xml:space="preserve"> consolidou as informações relativas à estimativa individual e total de consumo? </w:t>
            </w:r>
            <w:r w:rsidR="005C3026" w:rsidRPr="00BD15D6">
              <w:rPr>
                <w:rFonts w:cstheme="minorHAnsi"/>
                <w:sz w:val="24"/>
                <w:szCs w:val="24"/>
                <w:lang w:val="en-US"/>
              </w:rPr>
              <w:t xml:space="preserve">(art. 5º, II, do </w:t>
            </w:r>
            <w:proofErr w:type="spellStart"/>
            <w:r w:rsidR="005C3026" w:rsidRPr="00BD15D6">
              <w:rPr>
                <w:rFonts w:cstheme="minorHAnsi"/>
                <w:sz w:val="24"/>
                <w:szCs w:val="24"/>
                <w:lang w:val="en-US"/>
              </w:rPr>
              <w:t>Decreto</w:t>
            </w:r>
            <w:proofErr w:type="spellEnd"/>
            <w:r w:rsidR="005C3026" w:rsidRPr="00BD15D6">
              <w:rPr>
                <w:rFonts w:cstheme="minorHAnsi"/>
                <w:sz w:val="24"/>
                <w:szCs w:val="24"/>
                <w:lang w:val="en-US"/>
              </w:rPr>
              <w:t xml:space="preserve"> 7.892/13)</w:t>
            </w:r>
          </w:p>
        </w:tc>
        <w:tc>
          <w:tcPr>
            <w:tcW w:w="1275" w:type="dxa"/>
            <w:gridSpan w:val="2"/>
          </w:tcPr>
          <w:p w14:paraId="677F970F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5C3026" w:rsidRPr="00BD15D6" w14:paraId="478BCAAC" w14:textId="77777777" w:rsidTr="005C3026">
        <w:tc>
          <w:tcPr>
            <w:tcW w:w="8359" w:type="dxa"/>
          </w:tcPr>
          <w:p w14:paraId="2B9AEC4B" w14:textId="4E87D5E4" w:rsidR="005C3026" w:rsidRPr="00BD15D6" w:rsidRDefault="00E15A08" w:rsidP="00852ABE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</w:t>
            </w:r>
            <w:r w:rsidR="005C3026" w:rsidRPr="00BD15D6">
              <w:rPr>
                <w:rFonts w:cstheme="minorHAnsi"/>
                <w:sz w:val="24"/>
                <w:szCs w:val="24"/>
              </w:rPr>
              <w:t>. Foram consolidados os dados das pesquisas de mercado realizadas pelos órgãos e entidades participantes, inclusive nas hipóteses previstas nos §§ 2º e 3º do art. 6º do Decreto 7.892/13? (art. 5º, IV, do Decreto 7.892/13)</w:t>
            </w:r>
          </w:p>
        </w:tc>
        <w:tc>
          <w:tcPr>
            <w:tcW w:w="1275" w:type="dxa"/>
            <w:gridSpan w:val="2"/>
          </w:tcPr>
          <w:p w14:paraId="7167C871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6747E821" w14:textId="594F8287" w:rsidTr="005C3026">
        <w:tc>
          <w:tcPr>
            <w:tcW w:w="8359" w:type="dxa"/>
          </w:tcPr>
          <w:p w14:paraId="700E14FC" w14:textId="530793CA" w:rsidR="005C3026" w:rsidRPr="00BD15D6" w:rsidRDefault="005C3026" w:rsidP="00880B25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</w:t>
            </w:r>
            <w:r w:rsidR="00E15A08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</w:rPr>
              <w:t xml:space="preserve">. O órgão gerenciador </w:t>
            </w:r>
            <w:r w:rsidRPr="00BD15D6">
              <w:rPr>
                <w:rFonts w:cstheme="minorHAnsi"/>
                <w:sz w:val="24"/>
                <w:szCs w:val="24"/>
              </w:rPr>
              <w:t>confirmou junto aos órgãos ou entidades participantes a sua concordância com o objeto a ser licitado, inclusive quanto aos quantitativos, preços estimados e termo de referência? (art. 5º, V, do Decreto 7.892/13)</w:t>
            </w:r>
          </w:p>
        </w:tc>
        <w:tc>
          <w:tcPr>
            <w:tcW w:w="1275" w:type="dxa"/>
            <w:gridSpan w:val="2"/>
          </w:tcPr>
          <w:p w14:paraId="51986B81" w14:textId="1BD118CB" w:rsidR="005C3026" w:rsidRPr="00BD15D6" w:rsidRDefault="005C3026" w:rsidP="00FE36B1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5B4BB4A2" w14:textId="33D654A1" w:rsidTr="005C3026">
        <w:tc>
          <w:tcPr>
            <w:tcW w:w="8359" w:type="dxa"/>
          </w:tcPr>
          <w:p w14:paraId="4CA11912" w14:textId="58DB2776" w:rsidR="005C3026" w:rsidRPr="00BD15D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2</w:t>
            </w:r>
            <w:r>
              <w:rPr>
                <w:rFonts w:cstheme="minorHAnsi"/>
                <w:sz w:val="24"/>
                <w:szCs w:val="24"/>
              </w:rPr>
              <w:t>. Foi</w:t>
            </w:r>
            <w:r w:rsidRPr="00106759">
              <w:rPr>
                <w:rFonts w:cstheme="minorHAnsi"/>
                <w:sz w:val="24"/>
                <w:szCs w:val="24"/>
              </w:rPr>
              <w:t xml:space="preserve"> utilizad</w:t>
            </w:r>
            <w:r>
              <w:rPr>
                <w:rFonts w:cstheme="minorHAnsi"/>
                <w:sz w:val="24"/>
                <w:szCs w:val="24"/>
              </w:rPr>
              <w:t>o</w:t>
            </w:r>
            <w:r w:rsidRPr="00106759">
              <w:rPr>
                <w:rFonts w:cstheme="minorHAnsi"/>
                <w:sz w:val="24"/>
                <w:szCs w:val="24"/>
              </w:rPr>
              <w:t xml:space="preserve"> o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06759">
              <w:rPr>
                <w:rFonts w:cstheme="minorHAnsi"/>
                <w:sz w:val="24"/>
                <w:szCs w:val="24"/>
              </w:rPr>
              <w:t xml:space="preserve">modelo padronizado de </w:t>
            </w:r>
            <w:r>
              <w:rPr>
                <w:rFonts w:cstheme="minorHAnsi"/>
                <w:sz w:val="24"/>
                <w:szCs w:val="24"/>
              </w:rPr>
              <w:t>ata de registro de preços</w:t>
            </w:r>
            <w:r w:rsidRPr="00106759">
              <w:rPr>
                <w:rFonts w:cstheme="minorHAnsi"/>
                <w:sz w:val="24"/>
                <w:szCs w:val="24"/>
              </w:rPr>
              <w:t xml:space="preserve"> da Advocacia-Geral União? </w:t>
            </w:r>
            <w:r>
              <w:rPr>
                <w:rFonts w:cstheme="minorHAnsi"/>
                <w:sz w:val="24"/>
                <w:szCs w:val="24"/>
              </w:rPr>
              <w:t>(Enunciado nº 6 do Manual de Boas Práticas Consultivas).</w:t>
            </w:r>
            <w:r w:rsidRPr="00106759">
              <w:rPr>
                <w:rFonts w:cstheme="minorHAnsi"/>
                <w:strike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2"/>
          </w:tcPr>
          <w:p w14:paraId="2915670A" w14:textId="77777777" w:rsidR="005C3026" w:rsidRPr="00BD15D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09C3C322" w14:textId="77777777" w:rsidTr="005C3026">
        <w:tc>
          <w:tcPr>
            <w:tcW w:w="8359" w:type="dxa"/>
          </w:tcPr>
          <w:p w14:paraId="64D43153" w14:textId="2634F976" w:rsidR="005C302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2</w:t>
            </w:r>
            <w:r w:rsidRPr="00106759">
              <w:rPr>
                <w:rFonts w:cstheme="minorHAnsi"/>
                <w:sz w:val="24"/>
                <w:szCs w:val="24"/>
              </w:rPr>
              <w:t xml:space="preserve">.1. Eventuais alterações no modelo ou </w:t>
            </w:r>
            <w:r>
              <w:rPr>
                <w:rFonts w:cstheme="minorHAnsi"/>
                <w:sz w:val="24"/>
                <w:szCs w:val="24"/>
              </w:rPr>
              <w:t>su</w:t>
            </w:r>
            <w:r w:rsidRPr="00106759">
              <w:rPr>
                <w:rFonts w:cstheme="minorHAnsi"/>
                <w:sz w:val="24"/>
                <w:szCs w:val="24"/>
              </w:rPr>
              <w:t xml:space="preserve">a não utilização foram devidamente justificadas no processo? </w:t>
            </w:r>
          </w:p>
        </w:tc>
        <w:tc>
          <w:tcPr>
            <w:tcW w:w="1275" w:type="dxa"/>
            <w:gridSpan w:val="2"/>
          </w:tcPr>
          <w:p w14:paraId="3B753078" w14:textId="77777777" w:rsidR="005C3026" w:rsidRPr="00BD15D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BD15D6" w14:paraId="0C2CC64E" w14:textId="77777777" w:rsidTr="005C3026">
        <w:tc>
          <w:tcPr>
            <w:tcW w:w="8359" w:type="dxa"/>
          </w:tcPr>
          <w:p w14:paraId="0273F41D" w14:textId="5EFBA483" w:rsidR="005C302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 O Edital permite a adesão a não participantes? (Art. 22 do Decreto nº 7.892/13)</w:t>
            </w:r>
          </w:p>
        </w:tc>
        <w:tc>
          <w:tcPr>
            <w:tcW w:w="1275" w:type="dxa"/>
            <w:gridSpan w:val="2"/>
          </w:tcPr>
          <w:p w14:paraId="3568A034" w14:textId="77777777" w:rsidR="005C3026" w:rsidRPr="00BD15D6" w:rsidRDefault="005C3026" w:rsidP="00880B25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FE36B1" w14:paraId="5B6A2CEF" w14:textId="10E76312" w:rsidTr="005C3026">
        <w:tc>
          <w:tcPr>
            <w:tcW w:w="8359" w:type="dxa"/>
          </w:tcPr>
          <w:p w14:paraId="025D96AD" w14:textId="01F02853" w:rsidR="005C3026" w:rsidRPr="00BD15D6" w:rsidRDefault="005C3026" w:rsidP="00232D54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3</w:t>
            </w:r>
            <w:r w:rsidRPr="00BD15D6">
              <w:rPr>
                <w:rFonts w:cstheme="minorHAnsi"/>
                <w:sz w:val="24"/>
                <w:szCs w:val="24"/>
              </w:rPr>
              <w:t>.</w:t>
            </w:r>
            <w:r>
              <w:rPr>
                <w:rFonts w:cstheme="minorHAnsi"/>
                <w:sz w:val="24"/>
                <w:szCs w:val="24"/>
              </w:rPr>
              <w:t xml:space="preserve">1 </w:t>
            </w:r>
            <w:r w:rsidRPr="00BD15D6">
              <w:rPr>
                <w:rFonts w:cstheme="minorHAnsi"/>
                <w:sz w:val="24"/>
                <w:szCs w:val="24"/>
              </w:rPr>
              <w:t>Houve justificativa para a permissão de futura adesão de interessados</w:t>
            </w:r>
            <w:r>
              <w:rPr>
                <w:rFonts w:cstheme="minorHAnsi"/>
                <w:sz w:val="24"/>
                <w:szCs w:val="24"/>
              </w:rPr>
              <w:t xml:space="preserve"> não-participantes</w:t>
            </w:r>
            <w:r w:rsidRPr="00BD15D6">
              <w:rPr>
                <w:rFonts w:cstheme="minorHAnsi"/>
                <w:sz w:val="24"/>
                <w:szCs w:val="24"/>
              </w:rPr>
              <w:t>?</w:t>
            </w:r>
            <w:r>
              <w:rPr>
                <w:rFonts w:cstheme="minorHAnsi"/>
                <w:sz w:val="24"/>
                <w:szCs w:val="24"/>
              </w:rPr>
              <w:t xml:space="preserve"> (Acórdão nº 757/2015 – Plenário do TCU)</w:t>
            </w:r>
          </w:p>
        </w:tc>
        <w:tc>
          <w:tcPr>
            <w:tcW w:w="1275" w:type="dxa"/>
            <w:gridSpan w:val="2"/>
          </w:tcPr>
          <w:p w14:paraId="7547EB73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FE36B1" w14:paraId="3E170944" w14:textId="77777777" w:rsidTr="005C3026">
        <w:tc>
          <w:tcPr>
            <w:tcW w:w="8359" w:type="dxa"/>
          </w:tcPr>
          <w:p w14:paraId="7FE665D6" w14:textId="58651E9C" w:rsidR="005C3026" w:rsidRPr="00BD15D6" w:rsidRDefault="005C3026" w:rsidP="00E66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3</w:t>
            </w:r>
            <w:r>
              <w:rPr>
                <w:rFonts w:cstheme="minorHAnsi"/>
                <w:sz w:val="24"/>
                <w:szCs w:val="24"/>
              </w:rPr>
              <w:t>.2 Havendo possibilidade de adesão, há previsão de quantitativos para máximos por adesão e totais, nos termos do art. 22, §§ 3º, 4º e 4º-A do Decreto nº 7.892/13.</w:t>
            </w:r>
          </w:p>
        </w:tc>
        <w:tc>
          <w:tcPr>
            <w:tcW w:w="1275" w:type="dxa"/>
            <w:gridSpan w:val="2"/>
          </w:tcPr>
          <w:p w14:paraId="44DDB23C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FE36B1" w14:paraId="3CD6612D" w14:textId="77777777" w:rsidTr="005C3026">
        <w:tc>
          <w:tcPr>
            <w:tcW w:w="8359" w:type="dxa"/>
          </w:tcPr>
          <w:p w14:paraId="25C1ADFA" w14:textId="4CD120D3" w:rsidR="005C3026" w:rsidRDefault="005C3026" w:rsidP="00E666D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4</w:t>
            </w:r>
            <w:r w:rsidRPr="00C83DD1">
              <w:rPr>
                <w:rFonts w:cstheme="minorHAnsi"/>
                <w:sz w:val="24"/>
                <w:szCs w:val="24"/>
              </w:rPr>
              <w:t>. A licitação adota o critério de adjudicação por item?</w:t>
            </w:r>
          </w:p>
        </w:tc>
        <w:tc>
          <w:tcPr>
            <w:tcW w:w="1275" w:type="dxa"/>
            <w:gridSpan w:val="2"/>
          </w:tcPr>
          <w:p w14:paraId="123C2731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5C3026" w:rsidRPr="00FE36B1" w14:paraId="5FE50158" w14:textId="77777777" w:rsidTr="005C3026">
        <w:tc>
          <w:tcPr>
            <w:tcW w:w="8359" w:type="dxa"/>
          </w:tcPr>
          <w:p w14:paraId="242A34F8" w14:textId="2973653D" w:rsidR="005C3026" w:rsidRPr="00C83DD1" w:rsidRDefault="005C3026" w:rsidP="00C83D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E15A08">
              <w:rPr>
                <w:rFonts w:cstheme="minorHAnsi"/>
                <w:sz w:val="24"/>
                <w:szCs w:val="24"/>
              </w:rPr>
              <w:t>4</w:t>
            </w:r>
            <w:r w:rsidRPr="00C83DD1">
              <w:rPr>
                <w:rFonts w:cstheme="minorHAnsi"/>
                <w:sz w:val="24"/>
                <w:szCs w:val="24"/>
              </w:rPr>
              <w:t xml:space="preserve">.1 Caso utilizado critério de adjudicação por preço global de grupo de itens, foi apresentada justificativa? </w:t>
            </w:r>
          </w:p>
          <w:p w14:paraId="40496509" w14:textId="77777777" w:rsidR="005C3026" w:rsidRDefault="005C3026" w:rsidP="00C83DD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C83DD1">
              <w:rPr>
                <w:rFonts w:cstheme="minorHAnsi"/>
                <w:color w:val="FF0000"/>
                <w:sz w:val="24"/>
                <w:szCs w:val="24"/>
              </w:rPr>
              <w:t xml:space="preserve">Atentar para a recomendação do TCU, emanada no acórdão 2037/2019-Plenário, nos </w:t>
            </w:r>
            <w:proofErr w:type="gramStart"/>
            <w:r w:rsidRPr="00C83DD1">
              <w:rPr>
                <w:rFonts w:cstheme="minorHAnsi"/>
                <w:color w:val="FF0000"/>
                <w:sz w:val="24"/>
                <w:szCs w:val="24"/>
              </w:rPr>
              <w:t>seguinte termos</w:t>
            </w:r>
            <w:proofErr w:type="gramEnd"/>
            <w:r w:rsidRPr="00C83DD1">
              <w:rPr>
                <w:rFonts w:cstheme="minorHAnsi"/>
                <w:color w:val="FF0000"/>
                <w:sz w:val="24"/>
                <w:szCs w:val="24"/>
              </w:rPr>
              <w:t xml:space="preserve">: </w:t>
            </w:r>
          </w:p>
          <w:p w14:paraId="0C568D5F" w14:textId="77777777" w:rsidR="005C3026" w:rsidRDefault="005C3026" w:rsidP="00C83DD1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</w:rPr>
            </w:pPr>
            <w:r w:rsidRPr="00C83DD1">
              <w:rPr>
                <w:rFonts w:cstheme="minorHAnsi"/>
                <w:color w:val="FF0000"/>
                <w:sz w:val="24"/>
                <w:szCs w:val="24"/>
              </w:rPr>
              <w:t xml:space="preserve">9.6. determinar à </w:t>
            </w:r>
            <w:proofErr w:type="spellStart"/>
            <w:r w:rsidRPr="00C83DD1">
              <w:rPr>
                <w:rFonts w:cstheme="minorHAnsi"/>
                <w:color w:val="FF0000"/>
                <w:sz w:val="24"/>
                <w:szCs w:val="24"/>
              </w:rPr>
              <w:t>Secretaria-Geral</w:t>
            </w:r>
            <w:proofErr w:type="spellEnd"/>
            <w:r w:rsidRPr="00C83DD1">
              <w:rPr>
                <w:rFonts w:cstheme="minorHAnsi"/>
                <w:color w:val="FF0000"/>
                <w:sz w:val="24"/>
                <w:szCs w:val="24"/>
              </w:rPr>
              <w:t xml:space="preserve"> de Controle Externo desta Corte que, em reforço ao constante do item 9.3 do Acórdão 757/2015-Plenário, oriente suas unidades sobre a necessidade de sempre avaliar os seguintes aspectos em processos envolvendo pregões para registro de preços: […] </w:t>
            </w:r>
          </w:p>
          <w:p w14:paraId="10C0D323" w14:textId="6F7A2CF5" w:rsidR="005C3026" w:rsidRDefault="005C3026" w:rsidP="00C83DD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  <w:r w:rsidRPr="00C83DD1">
              <w:rPr>
                <w:rFonts w:cstheme="minorHAnsi"/>
                <w:color w:val="FF0000"/>
                <w:sz w:val="24"/>
                <w:szCs w:val="24"/>
              </w:rPr>
              <w:t xml:space="preserve">9.6.3. obrigatoriedade da adjudicação por item como regra geral, tendo em vista o objetivo de propiciar a ampla participação de licitantes e a seleção das propostas mais vantajosas, sendo a adjudicação por preço global medida excepcional que precisa ser devidamente justificada, além de incompatível com a aquisição futura por itens - </w:t>
            </w:r>
            <w:proofErr w:type="spellStart"/>
            <w:r w:rsidRPr="00C83DD1">
              <w:rPr>
                <w:rFonts w:cstheme="minorHAnsi"/>
                <w:color w:val="FF0000"/>
                <w:sz w:val="24"/>
                <w:szCs w:val="24"/>
              </w:rPr>
              <w:t>arts</w:t>
            </w:r>
            <w:proofErr w:type="spellEnd"/>
            <w:r w:rsidRPr="00C83DD1">
              <w:rPr>
                <w:rFonts w:cstheme="minorHAnsi"/>
                <w:color w:val="FF0000"/>
                <w:sz w:val="24"/>
                <w:szCs w:val="24"/>
              </w:rPr>
              <w:t>. 3º, § 1º, inciso I, 15, inciso IV, e 23, §§ 1º e 2º, da Lei 8.666/1993, e Acórdãos 529, 1.592, 1.913, 2.695 e 2.796/2013, todos do Plenário.</w:t>
            </w:r>
          </w:p>
        </w:tc>
        <w:tc>
          <w:tcPr>
            <w:tcW w:w="1275" w:type="dxa"/>
            <w:gridSpan w:val="2"/>
          </w:tcPr>
          <w:p w14:paraId="50709931" w14:textId="77777777" w:rsidR="005C3026" w:rsidRPr="00BD15D6" w:rsidRDefault="005C3026" w:rsidP="00FE36B1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C47D22" w:rsidRPr="00BD15D6" w14:paraId="21DB8820" w14:textId="77777777" w:rsidTr="00CE405D">
        <w:tc>
          <w:tcPr>
            <w:tcW w:w="8500" w:type="dxa"/>
            <w:gridSpan w:val="2"/>
          </w:tcPr>
          <w:p w14:paraId="51611E2F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b/>
                <w:sz w:val="24"/>
                <w:szCs w:val="24"/>
                <w:highlight w:val="yellow"/>
              </w:rPr>
              <w:t xml:space="preserve">VERIFICAÇÃO </w:t>
            </w:r>
            <w:r w:rsidRPr="001B6685">
              <w:rPr>
                <w:rFonts w:cstheme="minorHAnsi"/>
                <w:b/>
                <w:sz w:val="24"/>
                <w:szCs w:val="24"/>
                <w:highlight w:val="yellow"/>
                <w:u w:val="single"/>
              </w:rPr>
              <w:t>ESPECÍFICA PARA DISPENSA DE LICITAÇÃO</w:t>
            </w:r>
          </w:p>
        </w:tc>
        <w:tc>
          <w:tcPr>
            <w:tcW w:w="1134" w:type="dxa"/>
          </w:tcPr>
          <w:p w14:paraId="15CFD794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Cs w:val="24"/>
                <w:highlight w:val="yellow"/>
              </w:rPr>
            </w:pPr>
            <w:r w:rsidRPr="001B6685">
              <w:rPr>
                <w:rFonts w:cstheme="minorHAnsi"/>
                <w:szCs w:val="24"/>
                <w:highlight w:val="yellow"/>
              </w:rPr>
              <w:t>ESTADO</w:t>
            </w:r>
          </w:p>
          <w:p w14:paraId="618E0ED2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szCs w:val="24"/>
                <w:highlight w:val="yellow"/>
              </w:rPr>
            </w:pPr>
            <w:r w:rsidRPr="001B6685">
              <w:rPr>
                <w:rFonts w:cstheme="minorHAnsi"/>
                <w:szCs w:val="24"/>
                <w:highlight w:val="yellow"/>
              </w:rPr>
              <w:t>S / N / N.A.</w:t>
            </w:r>
          </w:p>
        </w:tc>
      </w:tr>
      <w:tr w:rsidR="00C47D22" w:rsidRPr="00BD15D6" w14:paraId="5372D2E9" w14:textId="77777777" w:rsidTr="00CE405D">
        <w:tc>
          <w:tcPr>
            <w:tcW w:w="8500" w:type="dxa"/>
            <w:gridSpan w:val="2"/>
          </w:tcPr>
          <w:p w14:paraId="3FF3309B" w14:textId="64D301A7" w:rsidR="00C47D22" w:rsidRPr="001B6685" w:rsidRDefault="00E15A08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25F62">
              <w:rPr>
                <w:rFonts w:cstheme="minorHAnsi"/>
                <w:sz w:val="24"/>
                <w:szCs w:val="24"/>
                <w:highlight w:val="yellow"/>
              </w:rPr>
              <w:t>5</w:t>
            </w:r>
            <w:r w:rsidR="00C47D22" w:rsidRPr="001B6685">
              <w:rPr>
                <w:rFonts w:cstheme="minorHAnsi"/>
                <w:sz w:val="24"/>
                <w:szCs w:val="24"/>
                <w:highlight w:val="yellow"/>
              </w:rPr>
              <w:t>. Consta dos autos demonstração da destinação da contratação para o enfretamento da emergência de saúde pública?</w:t>
            </w:r>
          </w:p>
          <w:p w14:paraId="6F9C856B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OBS: Atentar que os elementos previstos no art. 4º-B já são presumidos, de modo que só resta a demonstração do nexo entre a contratação e a emergência. Prevê o aludido artigo que:</w:t>
            </w:r>
          </w:p>
          <w:p w14:paraId="62B75547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</w:p>
          <w:p w14:paraId="2E4F64ED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Art. 4º-</w:t>
            </w:r>
            <w:proofErr w:type="gram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B  Nas</w:t>
            </w:r>
            <w:proofErr w:type="gram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dispensas de licitação decorrentes do disposto nesta Lei, presumem-se atendidas as condições de:</w:t>
            </w:r>
          </w:p>
          <w:p w14:paraId="36DFB3A9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 - </w:t>
            </w:r>
            <w:proofErr w:type="gram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ocorrência</w:t>
            </w:r>
            <w:proofErr w:type="gram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de situação de emergência;</w:t>
            </w:r>
          </w:p>
          <w:p w14:paraId="3EFC32E3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II - </w:t>
            </w:r>
            <w:proofErr w:type="gram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necessidade</w:t>
            </w:r>
            <w:proofErr w:type="gram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de pronto atendimento da situação de emergência;</w:t>
            </w:r>
          </w:p>
          <w:p w14:paraId="6C38F5CB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III - existência de risco a segurança de pessoas, obras, prestação de serviços, equipamentos e outros bens, públicos ou particulares; e</w:t>
            </w:r>
          </w:p>
          <w:p w14:paraId="603A69F3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IV - </w:t>
            </w:r>
            <w:proofErr w:type="gram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limitação</w:t>
            </w:r>
            <w:proofErr w:type="gram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da contratação à parcela necessária ao atendimento da situação de emergência</w:t>
            </w:r>
            <w:r w:rsidRPr="001B6685">
              <w:rPr>
                <w:rFonts w:cstheme="minorHAnsi"/>
                <w:sz w:val="24"/>
                <w:szCs w:val="24"/>
                <w:highlight w:val="yellow"/>
              </w:rPr>
              <w:t>.</w:t>
            </w:r>
          </w:p>
        </w:tc>
        <w:tc>
          <w:tcPr>
            <w:tcW w:w="1134" w:type="dxa"/>
          </w:tcPr>
          <w:p w14:paraId="3BFF7D33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C47D22" w:rsidRPr="00BD15D6" w14:paraId="5245A914" w14:textId="77777777" w:rsidTr="00CE405D">
        <w:tc>
          <w:tcPr>
            <w:tcW w:w="8500" w:type="dxa"/>
            <w:gridSpan w:val="2"/>
          </w:tcPr>
          <w:p w14:paraId="77121620" w14:textId="033928D6" w:rsidR="00C47D22" w:rsidRPr="001B6685" w:rsidRDefault="00E15A08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25F62">
              <w:rPr>
                <w:rFonts w:cstheme="minorHAnsi"/>
                <w:sz w:val="24"/>
                <w:szCs w:val="24"/>
                <w:highlight w:val="yellow"/>
              </w:rPr>
              <w:t>6.</w:t>
            </w:r>
            <w:r w:rsidR="00C47D22" w:rsidRPr="001B6685">
              <w:rPr>
                <w:rFonts w:cstheme="minorHAnsi"/>
                <w:sz w:val="24"/>
                <w:szCs w:val="24"/>
                <w:highlight w:val="yellow"/>
              </w:rPr>
              <w:t xml:space="preserve"> Constam dos autos as razões para escolha do executante a ser contratado?</w:t>
            </w:r>
          </w:p>
        </w:tc>
        <w:tc>
          <w:tcPr>
            <w:tcW w:w="1134" w:type="dxa"/>
          </w:tcPr>
          <w:p w14:paraId="0BE7AF88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C47D22" w:rsidRPr="00BD15D6" w14:paraId="68F91C80" w14:textId="77777777" w:rsidTr="00CE405D">
        <w:tc>
          <w:tcPr>
            <w:tcW w:w="8500" w:type="dxa"/>
            <w:gridSpan w:val="2"/>
          </w:tcPr>
          <w:p w14:paraId="557458B4" w14:textId="32AE8721" w:rsidR="00C47D22" w:rsidRPr="001B6685" w:rsidRDefault="00E15A08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t>2</w:t>
            </w:r>
            <w:r w:rsidR="00225F62">
              <w:rPr>
                <w:rFonts w:cstheme="minorHAnsi"/>
                <w:sz w:val="24"/>
                <w:szCs w:val="24"/>
                <w:highlight w:val="yellow"/>
              </w:rPr>
              <w:t>7</w:t>
            </w:r>
            <w:r w:rsidR="00C47D22" w:rsidRPr="001B6685">
              <w:rPr>
                <w:rFonts w:cstheme="minorHAnsi"/>
                <w:sz w:val="24"/>
                <w:szCs w:val="24"/>
                <w:highlight w:val="yellow"/>
              </w:rPr>
              <w:t xml:space="preserve">. Consta dos autos prova: a) de regularidade fiscal federal; b) de regularidade com a Seguridade Social; c) de regularidade com o Fundo de Garantia por Tempo de Serviço; d) de regularidade trabalhista; e) declaração para os fins da Lei 9.854/1999; </w:t>
            </w:r>
            <w:r w:rsidR="00C47D22" w:rsidRPr="001B6685">
              <w:rPr>
                <w:rFonts w:cstheme="minorHAnsi"/>
                <w:sz w:val="24"/>
                <w:szCs w:val="24"/>
                <w:highlight w:val="yellow"/>
              </w:rPr>
              <w:lastRenderedPageBreak/>
              <w:t>e f) ausência de penalidade que vede a contratação com o órgão (artigo 27 e seguintes da Lei 8.666/1993)?</w:t>
            </w:r>
          </w:p>
          <w:p w14:paraId="6B7BD591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OBS: A consulta deve ser feita nos seguintes endereços:</w:t>
            </w:r>
          </w:p>
          <w:p w14:paraId="08BD1643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a) SICAF;  </w:t>
            </w:r>
          </w:p>
          <w:p w14:paraId="590BC21C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b) Cadastro Nacional de Empresas Inidôneas e Suspensas - CEIS, mantido pela Controladoria-Geral da União (www.portaldatransparencia.gov.br/</w:t>
            </w:r>
            <w:proofErr w:type="spell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ceis</w:t>
            </w:r>
            <w:proofErr w:type="spell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);  </w:t>
            </w:r>
          </w:p>
          <w:p w14:paraId="332287BC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c) Cadastro Nacional de Condenações Cíveis por Atos de Improbidade Administrativa, mantido pelo Conselho Nacional de Justiça (</w:t>
            </w:r>
            <w:hyperlink r:id="rId11" w:history="1">
              <w:r w:rsidRPr="001B6685">
                <w:rPr>
                  <w:rStyle w:val="Hyperlink"/>
                  <w:rFonts w:cstheme="minorHAnsi"/>
                  <w:color w:val="FF0000"/>
                  <w:sz w:val="24"/>
                  <w:szCs w:val="24"/>
                  <w:highlight w:val="yellow"/>
                </w:rPr>
                <w:t>www.cnj.jus.br/improbidade_adm/consultar_requerido.php</w:t>
              </w:r>
            </w:hyperlink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).  </w:t>
            </w:r>
          </w:p>
          <w:p w14:paraId="4EBE0FC9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d) Lista de Inidôneos, mantida pelo Tribunal de Contas da União – TCU (https://contas.tcu.gov.br/</w:t>
            </w:r>
            <w:proofErr w:type="spell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ords</w:t>
            </w:r>
            <w:proofErr w:type="spell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/</w:t>
            </w:r>
            <w:proofErr w:type="spellStart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f?p</w:t>
            </w:r>
            <w:proofErr w:type="spellEnd"/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=INABILITADO:INIDONEOS); </w:t>
            </w:r>
          </w:p>
          <w:p w14:paraId="6C707FB6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OBS 2: Para a consulta de licitantes pessoa jurídica poderá haver a substituição das consultas das alíneas “b”, “c” e “d” acima pela Consulta Consolidada de Pessoa Jurídica do TCU (</w:t>
            </w:r>
            <w:hyperlink r:id="rId12" w:history="1">
              <w:r w:rsidRPr="001B6685">
                <w:rPr>
                  <w:rStyle w:val="Hyperlink"/>
                  <w:rFonts w:cstheme="minorHAnsi"/>
                  <w:sz w:val="24"/>
                  <w:szCs w:val="24"/>
                  <w:highlight w:val="yellow"/>
                </w:rPr>
                <w:t>https://certidoesapf.apps.tcu.gov.br/</w:t>
              </w:r>
            </w:hyperlink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)</w:t>
            </w:r>
          </w:p>
          <w:p w14:paraId="32E06653" w14:textId="1C4ABBD9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OBS 3: Relembre-se o que fora dito no item 1</w:t>
            </w:r>
            <w:r w:rsid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>3</w:t>
            </w:r>
            <w:r w:rsidRPr="001B6685">
              <w:rPr>
                <w:rFonts w:cstheme="minorHAnsi"/>
                <w:color w:val="FF0000"/>
                <w:sz w:val="24"/>
                <w:szCs w:val="24"/>
                <w:highlight w:val="yellow"/>
              </w:rPr>
              <w:t xml:space="preserve"> sobre a dispensa de algumas certidões no caso do art. 4º-F da Lei nº 13.979/20</w:t>
            </w:r>
          </w:p>
        </w:tc>
        <w:tc>
          <w:tcPr>
            <w:tcW w:w="1134" w:type="dxa"/>
          </w:tcPr>
          <w:p w14:paraId="65C245B5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C47D22" w:rsidRPr="00BD15D6" w14:paraId="62D81107" w14:textId="77777777" w:rsidTr="00CE405D">
        <w:tc>
          <w:tcPr>
            <w:tcW w:w="8500" w:type="dxa"/>
            <w:gridSpan w:val="2"/>
          </w:tcPr>
          <w:p w14:paraId="37C73BFC" w14:textId="72AC125B" w:rsidR="00C47D22" w:rsidRPr="001B6685" w:rsidRDefault="00E15A08" w:rsidP="00CE405D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</w:t>
            </w:r>
            <w:r w:rsidR="00225F62">
              <w:rPr>
                <w:sz w:val="24"/>
                <w:szCs w:val="24"/>
                <w:highlight w:val="yellow"/>
              </w:rPr>
              <w:t>7</w:t>
            </w:r>
            <w:r w:rsidR="00C47D22" w:rsidRPr="001B6685">
              <w:rPr>
                <w:sz w:val="24"/>
                <w:szCs w:val="24"/>
                <w:highlight w:val="yellow"/>
              </w:rPr>
              <w:t>.1 No caso de contratação de empresa inidônea ou que não possa contratar com o poder público, há comprovação de ser a única fornecedora do bem/serviço? (art. 4º, §3º, Lei nº 13.979/20)</w:t>
            </w:r>
          </w:p>
        </w:tc>
        <w:tc>
          <w:tcPr>
            <w:tcW w:w="1134" w:type="dxa"/>
          </w:tcPr>
          <w:p w14:paraId="7154F215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</w:rPr>
            </w:pPr>
          </w:p>
        </w:tc>
      </w:tr>
      <w:tr w:rsidR="00C47D22" w:rsidRPr="00BD15D6" w14:paraId="0B91B4B4" w14:textId="77777777" w:rsidTr="00CE405D">
        <w:tc>
          <w:tcPr>
            <w:tcW w:w="8500" w:type="dxa"/>
            <w:gridSpan w:val="2"/>
          </w:tcPr>
          <w:p w14:paraId="60380A12" w14:textId="0F3D4897" w:rsidR="00401937" w:rsidRPr="0047779F" w:rsidRDefault="00401937" w:rsidP="00401937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2</w:t>
            </w:r>
            <w:r>
              <w:rPr>
                <w:rFonts w:cstheme="minorHAnsi"/>
                <w:sz w:val="24"/>
                <w:szCs w:val="24"/>
                <w:highlight w:val="yellow"/>
                <w:lang w:val="en-US"/>
              </w:rPr>
              <w:t>8</w:t>
            </w:r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.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Houve</w:t>
            </w:r>
            <w:proofErr w:type="spellEnd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a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divulgação</w:t>
            </w:r>
            <w:proofErr w:type="spellEnd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imediata</w:t>
            </w:r>
            <w:proofErr w:type="spellEnd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da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contratação</w:t>
            </w:r>
            <w:proofErr w:type="spellEnd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, de que </w:t>
            </w:r>
            <w:proofErr w:type="spellStart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Pr="0047779F">
              <w:rPr>
                <w:rFonts w:cstheme="minorHAnsi"/>
                <w:sz w:val="24"/>
                <w:szCs w:val="24"/>
                <w:highlight w:val="yellow"/>
                <w:lang w:val="en-US"/>
              </w:rPr>
              <w:t xml:space="preserve"> o art. 4º § 2º da Lei nº 13.979/20?</w:t>
            </w:r>
          </w:p>
          <w:p w14:paraId="60E74E85" w14:textId="77777777" w:rsidR="00401937" w:rsidRPr="0047779F" w:rsidRDefault="00401937" w:rsidP="0040193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OBS :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acordo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com o § 2º do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artigo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4º da Lei 13.979/2020, "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todas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as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contratações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ou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aquisições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realizadas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com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fulcro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nesta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Lei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serão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imediatamente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disponibilizadas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em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sítio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oficial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específico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rede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mundial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computadores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(internet),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contendo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no que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couber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além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das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informações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previstas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no § 3º do art. 8º da Lei nº 12.527, de 18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novembro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2011, 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nome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contratado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número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sua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inscrição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Receita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Federal do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Brasil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prazo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contratual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o valor e 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respectivo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processo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contratação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ou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aquisição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."</w:t>
            </w:r>
          </w:p>
          <w:p w14:paraId="24BC396E" w14:textId="77777777" w:rsidR="00401937" w:rsidRPr="0047779F" w:rsidRDefault="00401937" w:rsidP="0040193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</w:p>
          <w:p w14:paraId="527DBA3C" w14:textId="63F40720" w:rsidR="00C47D22" w:rsidRPr="001B6685" w:rsidRDefault="00401937" w:rsidP="00401937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</w:pPr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OBS 2: Como se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legislação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específica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,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não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se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aplica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gram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</w:t>
            </w:r>
            <w:proofErr w:type="gram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obrigação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de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publicação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no DOU de que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trata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o </w:t>
            </w:r>
            <w:proofErr w:type="spellStart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>artigo</w:t>
            </w:r>
            <w:proofErr w:type="spellEnd"/>
            <w:r w:rsidRPr="0047779F">
              <w:rPr>
                <w:rFonts w:cstheme="minorHAnsi"/>
                <w:color w:val="FF0000"/>
                <w:sz w:val="24"/>
                <w:szCs w:val="24"/>
                <w:highlight w:val="yellow"/>
                <w:lang w:val="en-US"/>
              </w:rPr>
              <w:t xml:space="preserve"> 26 da Lei nº 8.666/93.</w:t>
            </w:r>
          </w:p>
        </w:tc>
        <w:tc>
          <w:tcPr>
            <w:tcW w:w="1134" w:type="dxa"/>
          </w:tcPr>
          <w:p w14:paraId="3C5E5FE5" w14:textId="77777777" w:rsidR="00C47D22" w:rsidRPr="001B6685" w:rsidRDefault="00C47D22" w:rsidP="00CE405D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highlight w:val="yellow"/>
                <w:lang w:val="en-US"/>
              </w:rPr>
            </w:pPr>
          </w:p>
        </w:tc>
      </w:tr>
    </w:tbl>
    <w:p w14:paraId="6B1DDA49" w14:textId="176F157E" w:rsidR="00410AF8" w:rsidRDefault="00410AF8">
      <w:pPr>
        <w:rPr>
          <w:rFonts w:cstheme="minorHAnsi"/>
          <w:sz w:val="24"/>
          <w:szCs w:val="24"/>
          <w:highlight w:val="yellow"/>
        </w:rPr>
      </w:pPr>
    </w:p>
    <w:sectPr w:rsidR="00410AF8" w:rsidSect="00C4102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4D5BA" w14:textId="77777777" w:rsidR="007E6B7F" w:rsidRDefault="007E6B7F" w:rsidP="00614319">
      <w:pPr>
        <w:spacing w:after="0" w:line="240" w:lineRule="auto"/>
      </w:pPr>
      <w:r>
        <w:separator/>
      </w:r>
    </w:p>
  </w:endnote>
  <w:endnote w:type="continuationSeparator" w:id="0">
    <w:p w14:paraId="7B248ADD" w14:textId="77777777" w:rsidR="007E6B7F" w:rsidRDefault="007E6B7F" w:rsidP="0061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, Times,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D9BCBB" w14:textId="77777777" w:rsidR="00353711" w:rsidRDefault="0035371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EC58C9" w14:textId="359586BD" w:rsidR="00614319" w:rsidRDefault="00614319" w:rsidP="00614319">
    <w:pPr>
      <w:pStyle w:val="Rodap"/>
      <w:pBdr>
        <w:bottom w:val="single" w:sz="6" w:space="1" w:color="auto"/>
      </w:pBdr>
      <w:rPr>
        <w:sz w:val="15"/>
        <w:szCs w:val="15"/>
      </w:rPr>
    </w:pPr>
  </w:p>
  <w:p w14:paraId="0791810D" w14:textId="77777777" w:rsidR="00614319" w:rsidRDefault="00614319" w:rsidP="00614319">
    <w:pPr>
      <w:pStyle w:val="Rodap"/>
      <w:rPr>
        <w:sz w:val="15"/>
        <w:szCs w:val="15"/>
      </w:rPr>
    </w:pPr>
    <w:r>
      <w:rPr>
        <w:sz w:val="15"/>
        <w:szCs w:val="15"/>
      </w:rPr>
      <w:t>Câmara Nacional de Modelos de Licitações e Contratos da Consultoria-Geral da União</w:t>
    </w:r>
  </w:p>
  <w:p w14:paraId="741075A2" w14:textId="02425AB2" w:rsidR="00614319" w:rsidRDefault="00614319" w:rsidP="00614319">
    <w:pPr>
      <w:pStyle w:val="Rodap"/>
      <w:rPr>
        <w:sz w:val="15"/>
        <w:szCs w:val="15"/>
      </w:rPr>
    </w:pPr>
    <w:r>
      <w:rPr>
        <w:sz w:val="15"/>
        <w:szCs w:val="15"/>
      </w:rPr>
      <w:t>Modelo de Lista de Verificação de Compras</w:t>
    </w:r>
    <w:r w:rsidR="00353711">
      <w:rPr>
        <w:sz w:val="15"/>
        <w:szCs w:val="15"/>
      </w:rPr>
      <w:t>- COVID-19</w:t>
    </w:r>
  </w:p>
  <w:p w14:paraId="2D4CCD07" w14:textId="60A3FBDC" w:rsidR="00614319" w:rsidRDefault="00614319">
    <w:pPr>
      <w:pStyle w:val="Rodap"/>
    </w:pPr>
    <w:r>
      <w:rPr>
        <w:sz w:val="15"/>
        <w:szCs w:val="15"/>
      </w:rPr>
      <w:t xml:space="preserve">Atualização: </w:t>
    </w:r>
    <w:r w:rsidR="00353711">
      <w:rPr>
        <w:sz w:val="15"/>
        <w:szCs w:val="15"/>
      </w:rPr>
      <w:t>MARÇO - 2020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A864D" w14:textId="77777777" w:rsidR="00353711" w:rsidRDefault="0035371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56A31" w14:textId="77777777" w:rsidR="007E6B7F" w:rsidRDefault="007E6B7F" w:rsidP="00614319">
      <w:pPr>
        <w:spacing w:after="0" w:line="240" w:lineRule="auto"/>
      </w:pPr>
      <w:r>
        <w:separator/>
      </w:r>
    </w:p>
  </w:footnote>
  <w:footnote w:type="continuationSeparator" w:id="0">
    <w:p w14:paraId="1BF69CFE" w14:textId="77777777" w:rsidR="007E6B7F" w:rsidRDefault="007E6B7F" w:rsidP="00614319">
      <w:pPr>
        <w:spacing w:after="0" w:line="240" w:lineRule="auto"/>
      </w:pPr>
      <w:r>
        <w:continuationSeparator/>
      </w:r>
    </w:p>
  </w:footnote>
  <w:footnote w:id="1">
    <w:p w14:paraId="0F5056B3" w14:textId="77777777" w:rsidR="00222E04" w:rsidRDefault="00222E04" w:rsidP="00222E04">
      <w:pPr>
        <w:pStyle w:val="Textodenotaderodap"/>
      </w:pPr>
      <w:r>
        <w:rPr>
          <w:rStyle w:val="Refdenotaderodap"/>
        </w:rPr>
        <w:footnoteRef/>
      </w:r>
      <w:r>
        <w:t xml:space="preserve"> Esta lista foi feita com utilização de subsídios retirados dos modelos de Lista de Verificação da CJU-RS.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4F6DD" w14:textId="77777777" w:rsidR="00353711" w:rsidRDefault="0035371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7A122" w14:textId="77777777" w:rsidR="00353711" w:rsidRDefault="0035371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091D8A" w14:textId="77777777" w:rsidR="00353711" w:rsidRDefault="003537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7F34C4"/>
    <w:multiLevelType w:val="multilevel"/>
    <w:tmpl w:val="DFEA9E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1BB31EA"/>
    <w:multiLevelType w:val="hybridMultilevel"/>
    <w:tmpl w:val="135862F8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B6F5C"/>
    <w:multiLevelType w:val="multilevel"/>
    <w:tmpl w:val="E66441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F521D4E"/>
    <w:multiLevelType w:val="hybridMultilevel"/>
    <w:tmpl w:val="921CACE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88333F"/>
    <w:multiLevelType w:val="hybridMultilevel"/>
    <w:tmpl w:val="6EC86396"/>
    <w:lvl w:ilvl="0" w:tplc="EDB00B9C">
      <w:start w:val="2"/>
      <w:numFmt w:val="decimal"/>
      <w:pStyle w:val="LpargrafoParec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C1F"/>
    <w:rsid w:val="00000CB6"/>
    <w:rsid w:val="000136FA"/>
    <w:rsid w:val="00014D0C"/>
    <w:rsid w:val="000172BE"/>
    <w:rsid w:val="00017D7A"/>
    <w:rsid w:val="0003162C"/>
    <w:rsid w:val="00032C6C"/>
    <w:rsid w:val="0003709E"/>
    <w:rsid w:val="00043983"/>
    <w:rsid w:val="000464D2"/>
    <w:rsid w:val="0004772F"/>
    <w:rsid w:val="00051405"/>
    <w:rsid w:val="00063377"/>
    <w:rsid w:val="00071CA7"/>
    <w:rsid w:val="0008175C"/>
    <w:rsid w:val="00090B9E"/>
    <w:rsid w:val="00093095"/>
    <w:rsid w:val="000B60D6"/>
    <w:rsid w:val="000D38ED"/>
    <w:rsid w:val="000E51BD"/>
    <w:rsid w:val="000E69D6"/>
    <w:rsid w:val="000F0A0E"/>
    <w:rsid w:val="000F3B3F"/>
    <w:rsid w:val="000F798C"/>
    <w:rsid w:val="001032AA"/>
    <w:rsid w:val="00106047"/>
    <w:rsid w:val="00106759"/>
    <w:rsid w:val="001077EF"/>
    <w:rsid w:val="001342E3"/>
    <w:rsid w:val="00143425"/>
    <w:rsid w:val="00153917"/>
    <w:rsid w:val="00153E03"/>
    <w:rsid w:val="00154FF5"/>
    <w:rsid w:val="0016242F"/>
    <w:rsid w:val="00163C62"/>
    <w:rsid w:val="00163F8E"/>
    <w:rsid w:val="001649F5"/>
    <w:rsid w:val="001752AF"/>
    <w:rsid w:val="00184832"/>
    <w:rsid w:val="00187AB9"/>
    <w:rsid w:val="001A23FB"/>
    <w:rsid w:val="001A4EE5"/>
    <w:rsid w:val="001A6ED6"/>
    <w:rsid w:val="001B0EE9"/>
    <w:rsid w:val="001B217B"/>
    <w:rsid w:val="001B2BF9"/>
    <w:rsid w:val="001B6685"/>
    <w:rsid w:val="001B6770"/>
    <w:rsid w:val="001C25CF"/>
    <w:rsid w:val="001C5049"/>
    <w:rsid w:val="001D1617"/>
    <w:rsid w:val="001D2B01"/>
    <w:rsid w:val="001D7F11"/>
    <w:rsid w:val="001F2F79"/>
    <w:rsid w:val="001F597F"/>
    <w:rsid w:val="00221FA7"/>
    <w:rsid w:val="00222E04"/>
    <w:rsid w:val="00225F62"/>
    <w:rsid w:val="00227680"/>
    <w:rsid w:val="00230862"/>
    <w:rsid w:val="00232D54"/>
    <w:rsid w:val="00234366"/>
    <w:rsid w:val="00242B59"/>
    <w:rsid w:val="00245832"/>
    <w:rsid w:val="00246CF1"/>
    <w:rsid w:val="002509B1"/>
    <w:rsid w:val="00254516"/>
    <w:rsid w:val="00261286"/>
    <w:rsid w:val="002616B7"/>
    <w:rsid w:val="00262B2E"/>
    <w:rsid w:val="00263E45"/>
    <w:rsid w:val="00264CB0"/>
    <w:rsid w:val="00273054"/>
    <w:rsid w:val="00284E57"/>
    <w:rsid w:val="002908AD"/>
    <w:rsid w:val="00297E09"/>
    <w:rsid w:val="002A6CE2"/>
    <w:rsid w:val="002A7F41"/>
    <w:rsid w:val="002C279C"/>
    <w:rsid w:val="002C2894"/>
    <w:rsid w:val="002C2CCC"/>
    <w:rsid w:val="002C7735"/>
    <w:rsid w:val="002D3193"/>
    <w:rsid w:val="002E635F"/>
    <w:rsid w:val="002F1D16"/>
    <w:rsid w:val="002F3D7A"/>
    <w:rsid w:val="00305139"/>
    <w:rsid w:val="00306217"/>
    <w:rsid w:val="00311D74"/>
    <w:rsid w:val="00323A3D"/>
    <w:rsid w:val="00327E5D"/>
    <w:rsid w:val="0033051B"/>
    <w:rsid w:val="00331105"/>
    <w:rsid w:val="003318D2"/>
    <w:rsid w:val="00336AC1"/>
    <w:rsid w:val="0033739A"/>
    <w:rsid w:val="00337924"/>
    <w:rsid w:val="00343EEE"/>
    <w:rsid w:val="00352EDF"/>
    <w:rsid w:val="00353711"/>
    <w:rsid w:val="00374BB3"/>
    <w:rsid w:val="00377191"/>
    <w:rsid w:val="003833D5"/>
    <w:rsid w:val="003A6A6F"/>
    <w:rsid w:val="003B262D"/>
    <w:rsid w:val="003B5DD8"/>
    <w:rsid w:val="003C7995"/>
    <w:rsid w:val="003D51B7"/>
    <w:rsid w:val="003E681E"/>
    <w:rsid w:val="003E7A02"/>
    <w:rsid w:val="003F31F7"/>
    <w:rsid w:val="003F3978"/>
    <w:rsid w:val="00401937"/>
    <w:rsid w:val="00407AE6"/>
    <w:rsid w:val="00410AF8"/>
    <w:rsid w:val="004116B5"/>
    <w:rsid w:val="00415272"/>
    <w:rsid w:val="0041538D"/>
    <w:rsid w:val="004164BD"/>
    <w:rsid w:val="00430DDF"/>
    <w:rsid w:val="00450335"/>
    <w:rsid w:val="004525E3"/>
    <w:rsid w:val="0045728F"/>
    <w:rsid w:val="00460A82"/>
    <w:rsid w:val="00465290"/>
    <w:rsid w:val="004742E9"/>
    <w:rsid w:val="00480C97"/>
    <w:rsid w:val="004810E1"/>
    <w:rsid w:val="00481A01"/>
    <w:rsid w:val="004843C6"/>
    <w:rsid w:val="004938D2"/>
    <w:rsid w:val="004941DD"/>
    <w:rsid w:val="00495E8F"/>
    <w:rsid w:val="004A4A08"/>
    <w:rsid w:val="004A743F"/>
    <w:rsid w:val="004B470F"/>
    <w:rsid w:val="004C6886"/>
    <w:rsid w:val="004D17B3"/>
    <w:rsid w:val="004D472F"/>
    <w:rsid w:val="004D798B"/>
    <w:rsid w:val="004F7F4E"/>
    <w:rsid w:val="005038AC"/>
    <w:rsid w:val="005064FE"/>
    <w:rsid w:val="00510CC9"/>
    <w:rsid w:val="00510D84"/>
    <w:rsid w:val="0051254C"/>
    <w:rsid w:val="00525913"/>
    <w:rsid w:val="00527269"/>
    <w:rsid w:val="005365E3"/>
    <w:rsid w:val="00540D6A"/>
    <w:rsid w:val="00543245"/>
    <w:rsid w:val="00543D38"/>
    <w:rsid w:val="00544923"/>
    <w:rsid w:val="005460AE"/>
    <w:rsid w:val="0055062A"/>
    <w:rsid w:val="0056143D"/>
    <w:rsid w:val="005649B8"/>
    <w:rsid w:val="00566A47"/>
    <w:rsid w:val="00574201"/>
    <w:rsid w:val="005748FE"/>
    <w:rsid w:val="00575B21"/>
    <w:rsid w:val="0058279B"/>
    <w:rsid w:val="00585AC1"/>
    <w:rsid w:val="00587657"/>
    <w:rsid w:val="005900C5"/>
    <w:rsid w:val="0059344F"/>
    <w:rsid w:val="00596E2D"/>
    <w:rsid w:val="005A1D9B"/>
    <w:rsid w:val="005A7C1C"/>
    <w:rsid w:val="005B33AB"/>
    <w:rsid w:val="005B7FD1"/>
    <w:rsid w:val="005C3026"/>
    <w:rsid w:val="005D0259"/>
    <w:rsid w:val="005E1548"/>
    <w:rsid w:val="005E46DB"/>
    <w:rsid w:val="005E4E8E"/>
    <w:rsid w:val="005E62A8"/>
    <w:rsid w:val="005F73A6"/>
    <w:rsid w:val="00610220"/>
    <w:rsid w:val="006129F1"/>
    <w:rsid w:val="00614319"/>
    <w:rsid w:val="00642008"/>
    <w:rsid w:val="0064272F"/>
    <w:rsid w:val="00642A41"/>
    <w:rsid w:val="00647B93"/>
    <w:rsid w:val="00657856"/>
    <w:rsid w:val="00664417"/>
    <w:rsid w:val="00666CB8"/>
    <w:rsid w:val="0068495B"/>
    <w:rsid w:val="00693749"/>
    <w:rsid w:val="00697E15"/>
    <w:rsid w:val="006A5C10"/>
    <w:rsid w:val="006A64ED"/>
    <w:rsid w:val="006B2424"/>
    <w:rsid w:val="006C3DF7"/>
    <w:rsid w:val="006D643A"/>
    <w:rsid w:val="006E2EDA"/>
    <w:rsid w:val="00701BE0"/>
    <w:rsid w:val="00705BD8"/>
    <w:rsid w:val="00730468"/>
    <w:rsid w:val="00740996"/>
    <w:rsid w:val="00750F2B"/>
    <w:rsid w:val="007515B8"/>
    <w:rsid w:val="00755F0C"/>
    <w:rsid w:val="00760558"/>
    <w:rsid w:val="00764D89"/>
    <w:rsid w:val="00767846"/>
    <w:rsid w:val="00771E67"/>
    <w:rsid w:val="00773FFF"/>
    <w:rsid w:val="00774089"/>
    <w:rsid w:val="0077560B"/>
    <w:rsid w:val="00777DEF"/>
    <w:rsid w:val="00781F0F"/>
    <w:rsid w:val="0078360A"/>
    <w:rsid w:val="0078541A"/>
    <w:rsid w:val="00792450"/>
    <w:rsid w:val="00793C88"/>
    <w:rsid w:val="00794D27"/>
    <w:rsid w:val="00797512"/>
    <w:rsid w:val="0079762C"/>
    <w:rsid w:val="007A42C4"/>
    <w:rsid w:val="007B668C"/>
    <w:rsid w:val="007C16D6"/>
    <w:rsid w:val="007C3A68"/>
    <w:rsid w:val="007C5EBC"/>
    <w:rsid w:val="007C7163"/>
    <w:rsid w:val="007D392A"/>
    <w:rsid w:val="007E1CDD"/>
    <w:rsid w:val="007E229D"/>
    <w:rsid w:val="007E6B39"/>
    <w:rsid w:val="007E6B7F"/>
    <w:rsid w:val="007E7D69"/>
    <w:rsid w:val="0080590B"/>
    <w:rsid w:val="0080680C"/>
    <w:rsid w:val="0080765D"/>
    <w:rsid w:val="00823DE1"/>
    <w:rsid w:val="008357CD"/>
    <w:rsid w:val="00844437"/>
    <w:rsid w:val="008449E1"/>
    <w:rsid w:val="00852ABE"/>
    <w:rsid w:val="008568E2"/>
    <w:rsid w:val="00857E1B"/>
    <w:rsid w:val="00866E56"/>
    <w:rsid w:val="00870C14"/>
    <w:rsid w:val="00880B25"/>
    <w:rsid w:val="00881AA1"/>
    <w:rsid w:val="008933BE"/>
    <w:rsid w:val="008A1B49"/>
    <w:rsid w:val="008C057D"/>
    <w:rsid w:val="008C2F4D"/>
    <w:rsid w:val="008C7F49"/>
    <w:rsid w:val="008D2098"/>
    <w:rsid w:val="008D5E4F"/>
    <w:rsid w:val="008D77E7"/>
    <w:rsid w:val="008E5C96"/>
    <w:rsid w:val="008F04ED"/>
    <w:rsid w:val="008F4807"/>
    <w:rsid w:val="008F5D49"/>
    <w:rsid w:val="00904F57"/>
    <w:rsid w:val="00916648"/>
    <w:rsid w:val="00925992"/>
    <w:rsid w:val="009308DA"/>
    <w:rsid w:val="00933EBD"/>
    <w:rsid w:val="00940274"/>
    <w:rsid w:val="00941449"/>
    <w:rsid w:val="009418EA"/>
    <w:rsid w:val="00945B92"/>
    <w:rsid w:val="00947C61"/>
    <w:rsid w:val="00961EB0"/>
    <w:rsid w:val="00974A27"/>
    <w:rsid w:val="00980917"/>
    <w:rsid w:val="009816ED"/>
    <w:rsid w:val="00991BFC"/>
    <w:rsid w:val="00992314"/>
    <w:rsid w:val="00993FE5"/>
    <w:rsid w:val="009A1A98"/>
    <w:rsid w:val="009A23BD"/>
    <w:rsid w:val="009A3A42"/>
    <w:rsid w:val="009A74AC"/>
    <w:rsid w:val="009A7DB7"/>
    <w:rsid w:val="009C0A3F"/>
    <w:rsid w:val="009D0901"/>
    <w:rsid w:val="009E03E3"/>
    <w:rsid w:val="009E7457"/>
    <w:rsid w:val="009F0D78"/>
    <w:rsid w:val="009F7806"/>
    <w:rsid w:val="00A011D4"/>
    <w:rsid w:val="00A0161E"/>
    <w:rsid w:val="00A05093"/>
    <w:rsid w:val="00A10796"/>
    <w:rsid w:val="00A11FCC"/>
    <w:rsid w:val="00A14074"/>
    <w:rsid w:val="00A317D2"/>
    <w:rsid w:val="00A379AF"/>
    <w:rsid w:val="00A41439"/>
    <w:rsid w:val="00A473E7"/>
    <w:rsid w:val="00A535E8"/>
    <w:rsid w:val="00A604DB"/>
    <w:rsid w:val="00A72442"/>
    <w:rsid w:val="00A730C6"/>
    <w:rsid w:val="00A8060A"/>
    <w:rsid w:val="00A80A9C"/>
    <w:rsid w:val="00A87AB6"/>
    <w:rsid w:val="00A90701"/>
    <w:rsid w:val="00A9138A"/>
    <w:rsid w:val="00A91E86"/>
    <w:rsid w:val="00AA400C"/>
    <w:rsid w:val="00AB38DE"/>
    <w:rsid w:val="00AB53D9"/>
    <w:rsid w:val="00AC0F51"/>
    <w:rsid w:val="00AC1021"/>
    <w:rsid w:val="00AC60B9"/>
    <w:rsid w:val="00AD2455"/>
    <w:rsid w:val="00AD6625"/>
    <w:rsid w:val="00AE54C8"/>
    <w:rsid w:val="00AF70FF"/>
    <w:rsid w:val="00B01300"/>
    <w:rsid w:val="00B138FC"/>
    <w:rsid w:val="00B213CE"/>
    <w:rsid w:val="00B365C2"/>
    <w:rsid w:val="00B40EDE"/>
    <w:rsid w:val="00B4258E"/>
    <w:rsid w:val="00B438EE"/>
    <w:rsid w:val="00B43EE1"/>
    <w:rsid w:val="00B533F5"/>
    <w:rsid w:val="00B53714"/>
    <w:rsid w:val="00B54865"/>
    <w:rsid w:val="00B625C3"/>
    <w:rsid w:val="00B65FE3"/>
    <w:rsid w:val="00B669D6"/>
    <w:rsid w:val="00B7131E"/>
    <w:rsid w:val="00B7282B"/>
    <w:rsid w:val="00B74A73"/>
    <w:rsid w:val="00B74E56"/>
    <w:rsid w:val="00B779EA"/>
    <w:rsid w:val="00B81ED8"/>
    <w:rsid w:val="00B83DC9"/>
    <w:rsid w:val="00BA0BC4"/>
    <w:rsid w:val="00BA3944"/>
    <w:rsid w:val="00BA4575"/>
    <w:rsid w:val="00BA7DCB"/>
    <w:rsid w:val="00BB49ED"/>
    <w:rsid w:val="00BB5D2C"/>
    <w:rsid w:val="00BB64F7"/>
    <w:rsid w:val="00BC2B3D"/>
    <w:rsid w:val="00BC3C1F"/>
    <w:rsid w:val="00BC5AAF"/>
    <w:rsid w:val="00BC7E1D"/>
    <w:rsid w:val="00BD15D6"/>
    <w:rsid w:val="00BD16EB"/>
    <w:rsid w:val="00BE08C6"/>
    <w:rsid w:val="00BE2846"/>
    <w:rsid w:val="00BF0A61"/>
    <w:rsid w:val="00BF145A"/>
    <w:rsid w:val="00C03450"/>
    <w:rsid w:val="00C21505"/>
    <w:rsid w:val="00C343CE"/>
    <w:rsid w:val="00C4102A"/>
    <w:rsid w:val="00C47D22"/>
    <w:rsid w:val="00C66DCC"/>
    <w:rsid w:val="00C7315F"/>
    <w:rsid w:val="00C82B29"/>
    <w:rsid w:val="00C83DD1"/>
    <w:rsid w:val="00C83F8C"/>
    <w:rsid w:val="00C9124B"/>
    <w:rsid w:val="00C96333"/>
    <w:rsid w:val="00CA3EAA"/>
    <w:rsid w:val="00CA46EF"/>
    <w:rsid w:val="00CA4A7A"/>
    <w:rsid w:val="00CA51B7"/>
    <w:rsid w:val="00CA53C4"/>
    <w:rsid w:val="00CA6A9A"/>
    <w:rsid w:val="00CB0F32"/>
    <w:rsid w:val="00CB11E4"/>
    <w:rsid w:val="00CB6899"/>
    <w:rsid w:val="00CD1B8B"/>
    <w:rsid w:val="00CD2D74"/>
    <w:rsid w:val="00CD79BB"/>
    <w:rsid w:val="00CE6438"/>
    <w:rsid w:val="00CF4B84"/>
    <w:rsid w:val="00D01107"/>
    <w:rsid w:val="00D076BD"/>
    <w:rsid w:val="00D14478"/>
    <w:rsid w:val="00D16676"/>
    <w:rsid w:val="00D2032B"/>
    <w:rsid w:val="00D21940"/>
    <w:rsid w:val="00D22EE8"/>
    <w:rsid w:val="00D3315F"/>
    <w:rsid w:val="00D35930"/>
    <w:rsid w:val="00D366CB"/>
    <w:rsid w:val="00D379F8"/>
    <w:rsid w:val="00D40538"/>
    <w:rsid w:val="00D42C6B"/>
    <w:rsid w:val="00D4365B"/>
    <w:rsid w:val="00D445F8"/>
    <w:rsid w:val="00D45F3B"/>
    <w:rsid w:val="00D468F7"/>
    <w:rsid w:val="00D5142F"/>
    <w:rsid w:val="00D7342E"/>
    <w:rsid w:val="00D84E7C"/>
    <w:rsid w:val="00D923F1"/>
    <w:rsid w:val="00D948AC"/>
    <w:rsid w:val="00DA1662"/>
    <w:rsid w:val="00DB25DD"/>
    <w:rsid w:val="00DB69F2"/>
    <w:rsid w:val="00DD1FBC"/>
    <w:rsid w:val="00DE4C6D"/>
    <w:rsid w:val="00DE5FEE"/>
    <w:rsid w:val="00DE772D"/>
    <w:rsid w:val="00DF22C4"/>
    <w:rsid w:val="00DF64CF"/>
    <w:rsid w:val="00E0459C"/>
    <w:rsid w:val="00E14FCE"/>
    <w:rsid w:val="00E15A08"/>
    <w:rsid w:val="00E21E39"/>
    <w:rsid w:val="00E426D1"/>
    <w:rsid w:val="00E42EFA"/>
    <w:rsid w:val="00E479FB"/>
    <w:rsid w:val="00E47CB2"/>
    <w:rsid w:val="00E50BF5"/>
    <w:rsid w:val="00E62146"/>
    <w:rsid w:val="00E640DD"/>
    <w:rsid w:val="00E666D0"/>
    <w:rsid w:val="00E67355"/>
    <w:rsid w:val="00E70E35"/>
    <w:rsid w:val="00E71A36"/>
    <w:rsid w:val="00E75923"/>
    <w:rsid w:val="00E77D38"/>
    <w:rsid w:val="00E830FF"/>
    <w:rsid w:val="00E83387"/>
    <w:rsid w:val="00E8524D"/>
    <w:rsid w:val="00E91B38"/>
    <w:rsid w:val="00E96399"/>
    <w:rsid w:val="00EA00FA"/>
    <w:rsid w:val="00EA5688"/>
    <w:rsid w:val="00EB04AC"/>
    <w:rsid w:val="00EB122F"/>
    <w:rsid w:val="00EC1385"/>
    <w:rsid w:val="00EC273C"/>
    <w:rsid w:val="00EC7142"/>
    <w:rsid w:val="00ED2EF2"/>
    <w:rsid w:val="00ED492B"/>
    <w:rsid w:val="00ED7764"/>
    <w:rsid w:val="00EE0552"/>
    <w:rsid w:val="00EE5F3C"/>
    <w:rsid w:val="00EF6CDB"/>
    <w:rsid w:val="00F0460F"/>
    <w:rsid w:val="00F11503"/>
    <w:rsid w:val="00F11F0C"/>
    <w:rsid w:val="00F219D6"/>
    <w:rsid w:val="00F23D8A"/>
    <w:rsid w:val="00F269FD"/>
    <w:rsid w:val="00F30F0B"/>
    <w:rsid w:val="00F3495B"/>
    <w:rsid w:val="00F35694"/>
    <w:rsid w:val="00F35DF8"/>
    <w:rsid w:val="00F372ED"/>
    <w:rsid w:val="00F40B8E"/>
    <w:rsid w:val="00F42AC8"/>
    <w:rsid w:val="00F62494"/>
    <w:rsid w:val="00F66378"/>
    <w:rsid w:val="00F6651C"/>
    <w:rsid w:val="00F705AB"/>
    <w:rsid w:val="00F8105A"/>
    <w:rsid w:val="00F87538"/>
    <w:rsid w:val="00F91F32"/>
    <w:rsid w:val="00F92498"/>
    <w:rsid w:val="00FA05CC"/>
    <w:rsid w:val="00FA4D17"/>
    <w:rsid w:val="00FB307D"/>
    <w:rsid w:val="00FB32C8"/>
    <w:rsid w:val="00FC1F2D"/>
    <w:rsid w:val="00FC4038"/>
    <w:rsid w:val="00FC4BE1"/>
    <w:rsid w:val="00FC5CF7"/>
    <w:rsid w:val="00FD1AFB"/>
    <w:rsid w:val="00FE11EF"/>
    <w:rsid w:val="00FE2A42"/>
    <w:rsid w:val="00FE36B1"/>
    <w:rsid w:val="00FF012E"/>
    <w:rsid w:val="00FF5318"/>
    <w:rsid w:val="00FF6CA7"/>
    <w:rsid w:val="1B8CD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E097"/>
  <w15:chartTrackingRefBased/>
  <w15:docId w15:val="{AF57C2B2-5753-4DD5-AE4F-89016133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LpargrafoParecer">
    <w:name w:val="L_parágrafo_Parecer"/>
    <w:basedOn w:val="Cabealho"/>
    <w:link w:val="LpargrafoParecerChar"/>
    <w:autoRedefine/>
    <w:qFormat/>
    <w:rsid w:val="00B533F5"/>
    <w:pPr>
      <w:numPr>
        <w:numId w:val="1"/>
      </w:numPr>
      <w:tabs>
        <w:tab w:val="clear" w:pos="4252"/>
        <w:tab w:val="clear" w:pos="8504"/>
        <w:tab w:val="left" w:pos="1418"/>
      </w:tabs>
      <w:spacing w:after="240"/>
      <w:ind w:left="0" w:firstLine="0"/>
      <w:jc w:val="both"/>
    </w:pPr>
    <w:rPr>
      <w:sz w:val="24"/>
      <w:szCs w:val="24"/>
    </w:rPr>
  </w:style>
  <w:style w:type="character" w:customStyle="1" w:styleId="LpargrafoParecerChar">
    <w:name w:val="L_parágrafo_Parecer Char"/>
    <w:basedOn w:val="CabealhoChar"/>
    <w:link w:val="LpargrafoParecer"/>
    <w:rsid w:val="00B533F5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B533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533F5"/>
  </w:style>
  <w:style w:type="character" w:styleId="Refdecomentrio">
    <w:name w:val="annotation reference"/>
    <w:basedOn w:val="Fontepargpadro"/>
    <w:uiPriority w:val="99"/>
    <w:semiHidden/>
    <w:unhideWhenUsed/>
    <w:rsid w:val="002C2CC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2CC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2CC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2CC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2CC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2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2CCC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E2A4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7457"/>
    <w:pPr>
      <w:ind w:left="720"/>
      <w:contextualSpacing/>
    </w:pPr>
  </w:style>
  <w:style w:type="paragraph" w:customStyle="1" w:styleId="paragraph">
    <w:name w:val="paragraph"/>
    <w:basedOn w:val="Normal"/>
    <w:rsid w:val="003833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3833D5"/>
  </w:style>
  <w:style w:type="paragraph" w:styleId="SemEspaamento">
    <w:name w:val="No Spacing"/>
    <w:uiPriority w:val="1"/>
    <w:qFormat/>
    <w:rsid w:val="00A8060A"/>
    <w:pPr>
      <w:spacing w:after="0" w:line="240" w:lineRule="auto"/>
    </w:pPr>
  </w:style>
  <w:style w:type="character" w:customStyle="1" w:styleId="eop">
    <w:name w:val="eop"/>
    <w:basedOn w:val="Fontepargpadro"/>
    <w:rsid w:val="003F3978"/>
  </w:style>
  <w:style w:type="table" w:styleId="Tabelacomgrade">
    <w:name w:val="Table Grid"/>
    <w:basedOn w:val="Tabelanormal"/>
    <w:uiPriority w:val="39"/>
    <w:rsid w:val="00AC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5E4E8E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Droid Sans Fallback" w:hAnsi="Times New Roman" w:cs="Lohit Hindi"/>
      <w:sz w:val="24"/>
      <w:szCs w:val="24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9D0901"/>
    <w:rPr>
      <w:color w:val="954F72" w:themeColor="followedHyperlink"/>
      <w:u w:val="single"/>
    </w:rPr>
  </w:style>
  <w:style w:type="paragraph" w:styleId="Reviso">
    <w:name w:val="Revision"/>
    <w:hidden/>
    <w:uiPriority w:val="99"/>
    <w:semiHidden/>
    <w:rsid w:val="00D3315F"/>
    <w:pPr>
      <w:spacing w:after="0" w:line="240" w:lineRule="auto"/>
    </w:pPr>
  </w:style>
  <w:style w:type="paragraph" w:styleId="Rodap">
    <w:name w:val="footer"/>
    <w:basedOn w:val="Normal"/>
    <w:link w:val="RodapChar"/>
    <w:unhideWhenUsed/>
    <w:rsid w:val="006143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14319"/>
  </w:style>
  <w:style w:type="paragraph" w:styleId="NormalWeb">
    <w:name w:val="Normal (Web)"/>
    <w:basedOn w:val="Normal"/>
    <w:uiPriority w:val="99"/>
    <w:unhideWhenUsed/>
    <w:rsid w:val="00961E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22E0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22E0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22E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0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54994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705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795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8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ertidoesapf.apps.tcu.gov.br/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nj.jus.br/improbidade_adm/consultar_requerido.ph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46AF-4CB5-4900-856D-E862DB39D7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DBA67-81C0-4013-8AD7-DDFE9B34B3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55C077-44E2-4F55-94F6-5F0E7E0CAC1F}">
  <ds:schemaRefs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52c93ea8-e2de-466c-b401-d7fabeb9490e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C5FC94-9983-4CA6-B726-CA3B4C9F1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2131</Words>
  <Characters>11508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Central do Brasil</Company>
  <LinksUpToDate>false</LinksUpToDate>
  <CharactersWithSpaces>13612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Sarai</dc:creator>
  <cp:keywords/>
  <dc:description/>
  <cp:lastModifiedBy>Hugo Sales</cp:lastModifiedBy>
  <cp:revision>2</cp:revision>
  <dcterms:created xsi:type="dcterms:W3CDTF">2020-03-30T16:48:00Z</dcterms:created>
  <dcterms:modified xsi:type="dcterms:W3CDTF">2020-03-30T16:48:00Z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  <property fmtid="{D5CDD505-2E9C-101B-9397-08002B2CF9AE}" pid="3" name="AuthorIds_UIVersion_512">
    <vt:lpwstr>44</vt:lpwstr>
  </property>
  <property fmtid="{D5CDD505-2E9C-101B-9397-08002B2CF9AE}" pid="4" name="AuthorIds_UIVersion_1024">
    <vt:lpwstr>48</vt:lpwstr>
  </property>
</Properties>
</file>